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AAC8" w14:textId="77777777" w:rsidR="006D33D9" w:rsidRDefault="00C00A8F">
      <w:pPr>
        <w:pStyle w:val="Titolo1"/>
        <w:rPr>
          <w:rFonts w:ascii="Times New Roman" w:eastAsia="Times New Roman" w:hAnsi="Times New Roman" w:cs="Times New Roman"/>
        </w:rPr>
      </w:pPr>
      <w:r>
        <w:rPr>
          <w:rFonts w:ascii="Times New Roman" w:hAnsi="Times New Roman"/>
        </w:rPr>
        <w:t>Law</w:t>
      </w:r>
      <w:r w:rsidR="00A429FF">
        <w:rPr>
          <w:rFonts w:ascii="Times New Roman" w:hAnsi="Times New Roman"/>
        </w:rPr>
        <w:t xml:space="preserve"> of Business Crime</w:t>
      </w:r>
      <w:r w:rsidR="006B4E97">
        <w:rPr>
          <w:rFonts w:ascii="Times New Roman" w:hAnsi="Times New Roman"/>
        </w:rPr>
        <w:t xml:space="preserve"> (Degree in Business Management and Consulting)</w:t>
      </w:r>
    </w:p>
    <w:p w14:paraId="2CDE90D3" w14:textId="77777777" w:rsidR="006D33D9" w:rsidRDefault="006B4E97" w:rsidP="0013420C">
      <w:pPr>
        <w:pStyle w:val="Titolo2"/>
        <w:rPr>
          <w:rFonts w:ascii="Times New Roman" w:hAnsi="Times New Roman"/>
          <w:lang w:val="it-IT"/>
        </w:rPr>
      </w:pPr>
      <w:r w:rsidRPr="006B4E97">
        <w:rPr>
          <w:rFonts w:ascii="Times New Roman" w:hAnsi="Times New Roman"/>
          <w:lang w:val="it-IT"/>
        </w:rPr>
        <w:t xml:space="preserve">Prof. </w:t>
      </w:r>
      <w:r w:rsidR="00C00A8F">
        <w:rPr>
          <w:rFonts w:ascii="Times New Roman" w:hAnsi="Times New Roman"/>
          <w:lang w:val="it-IT"/>
        </w:rPr>
        <w:t>Arianna Visconti</w:t>
      </w:r>
      <w:r>
        <w:rPr>
          <w:rFonts w:ascii="Times New Roman" w:hAnsi="Times New Roman"/>
          <w:lang w:val="it-IT"/>
        </w:rPr>
        <w:t>;</w:t>
      </w:r>
      <w:r w:rsidRPr="006B4E97">
        <w:rPr>
          <w:rFonts w:ascii="Times New Roman" w:hAnsi="Times New Roman"/>
          <w:lang w:val="it-IT"/>
        </w:rPr>
        <w:t xml:space="preserve"> Prof. Alain Maria Dell'Osso</w:t>
      </w:r>
    </w:p>
    <w:p w14:paraId="7166C425" w14:textId="77777777" w:rsidR="00D06BDE" w:rsidRPr="00514034" w:rsidRDefault="00D06BDE" w:rsidP="00D06BD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E7FA2F3" w14:textId="77777777" w:rsidR="006D33D9" w:rsidRDefault="006B4E97">
      <w:pPr>
        <w:rPr>
          <w:lang w:val="en-US"/>
        </w:rPr>
      </w:pPr>
      <w:r>
        <w:rPr>
          <w:lang w:val="en-US"/>
        </w:rPr>
        <w:t>The course aims to provide the knowledge necessary to fully understand the reg</w:t>
      </w:r>
      <w:r>
        <w:rPr>
          <w:lang w:val="en-US"/>
        </w:rPr>
        <w:t>u</w:t>
      </w:r>
      <w:r>
        <w:rPr>
          <w:lang w:val="en-US"/>
        </w:rPr>
        <w:t>latory impact of commercial criminal law; it also seeks to provide the necessary knowledge of the basics of criminal law as well as the tools to comprehensively analyse, within the framework of the various forms of commercial crime, the main criminal offences governed by current Italian regulation.</w:t>
      </w:r>
    </w:p>
    <w:p w14:paraId="519B0025" w14:textId="77777777" w:rsidR="00B23231" w:rsidRDefault="00B23231">
      <w:pPr>
        <w:rPr>
          <w:lang w:val="en-US"/>
        </w:rPr>
      </w:pPr>
      <w:r>
        <w:rPr>
          <w:lang w:val="en-US"/>
        </w:rPr>
        <w:t>At the end of the course, students will be able to:</w:t>
      </w:r>
    </w:p>
    <w:p w14:paraId="42616A4D" w14:textId="77777777" w:rsidR="00B23231" w:rsidRPr="00B23231" w:rsidRDefault="00B23231" w:rsidP="00D06BDE">
      <w:pPr>
        <w:pStyle w:val="Paragrafoelenco"/>
        <w:numPr>
          <w:ilvl w:val="0"/>
          <w:numId w:val="1"/>
        </w:numPr>
        <w:spacing w:line="240" w:lineRule="exact"/>
        <w:ind w:left="284" w:hanging="284"/>
        <w:rPr>
          <w:rFonts w:ascii="Times" w:hAnsi="Times" w:cs="Times"/>
          <w:lang w:val="en-GB"/>
        </w:rPr>
      </w:pPr>
      <w:r>
        <w:rPr>
          <w:rFonts w:ascii="Times" w:hAnsi="Times" w:cs="Times"/>
          <w:lang w:val="en-GB"/>
        </w:rPr>
        <w:t>distinguish</w:t>
      </w:r>
      <w:r w:rsidRPr="00B23231">
        <w:rPr>
          <w:rFonts w:ascii="Times" w:hAnsi="Times" w:cs="Times"/>
          <w:lang w:val="en-GB"/>
        </w:rPr>
        <w:t xml:space="preserve"> the different elements that constitute</w:t>
      </w:r>
      <w:r w:rsidR="00AD1BAA">
        <w:rPr>
          <w:rFonts w:ascii="Times" w:hAnsi="Times" w:cs="Times"/>
          <w:lang w:val="en-GB"/>
        </w:rPr>
        <w:t xml:space="preserve"> a</w:t>
      </w:r>
      <w:r w:rsidRPr="00B23231">
        <w:rPr>
          <w:rFonts w:ascii="Times" w:hAnsi="Times" w:cs="Times"/>
          <w:lang w:val="en-GB"/>
        </w:rPr>
        <w:t xml:space="preserve"> crim</w:t>
      </w:r>
      <w:r w:rsidR="001D2016">
        <w:rPr>
          <w:rFonts w:ascii="Times" w:hAnsi="Times" w:cs="Times"/>
          <w:lang w:val="en-GB"/>
        </w:rPr>
        <w:t>i</w:t>
      </w:r>
      <w:r w:rsidRPr="00B23231">
        <w:rPr>
          <w:rFonts w:ascii="Times" w:hAnsi="Times" w:cs="Times"/>
          <w:lang w:val="en-GB"/>
        </w:rPr>
        <w:t xml:space="preserve">nal </w:t>
      </w:r>
      <w:proofErr w:type="gramStart"/>
      <w:r w:rsidRPr="00B23231">
        <w:rPr>
          <w:rFonts w:ascii="Times" w:hAnsi="Times" w:cs="Times"/>
          <w:lang w:val="en-GB"/>
        </w:rPr>
        <w:t>offence</w:t>
      </w:r>
      <w:r>
        <w:rPr>
          <w:rFonts w:ascii="Times" w:hAnsi="Times" w:cs="Times"/>
          <w:lang w:val="en-GB"/>
        </w:rPr>
        <w:t>;</w:t>
      </w:r>
      <w:proofErr w:type="gramEnd"/>
    </w:p>
    <w:p w14:paraId="2E37E42A" w14:textId="77777777" w:rsidR="00D06BDE" w:rsidRPr="00794D7E" w:rsidRDefault="00B23231" w:rsidP="00D06BDE">
      <w:pPr>
        <w:pStyle w:val="Paragrafoelenco"/>
        <w:numPr>
          <w:ilvl w:val="0"/>
          <w:numId w:val="1"/>
        </w:numPr>
        <w:spacing w:line="240" w:lineRule="exact"/>
        <w:ind w:left="284" w:hanging="284"/>
        <w:rPr>
          <w:rFonts w:ascii="Times" w:hAnsi="Times" w:cs="Times"/>
          <w:lang w:val="en-GB"/>
        </w:rPr>
      </w:pPr>
      <w:r w:rsidRPr="00794D7E">
        <w:rPr>
          <w:rFonts w:ascii="Times" w:hAnsi="Times" w:cs="Times"/>
          <w:lang w:val="en-GB"/>
        </w:rPr>
        <w:t>analyse criminal proceedings, especially the ones regulated by corporate crim</w:t>
      </w:r>
      <w:r w:rsidRPr="00794D7E">
        <w:rPr>
          <w:rFonts w:ascii="Times" w:hAnsi="Times" w:cs="Times"/>
          <w:lang w:val="en-GB"/>
        </w:rPr>
        <w:t>i</w:t>
      </w:r>
      <w:r w:rsidRPr="00794D7E">
        <w:rPr>
          <w:rFonts w:ascii="Times" w:hAnsi="Times" w:cs="Times"/>
          <w:lang w:val="en-GB"/>
        </w:rPr>
        <w:t xml:space="preserve">nal law, using </w:t>
      </w:r>
      <w:r w:rsidR="00794D7E" w:rsidRPr="00794D7E">
        <w:rPr>
          <w:rFonts w:ascii="Times" w:hAnsi="Times" w:cs="Times"/>
          <w:lang w:val="en-GB"/>
        </w:rPr>
        <w:t xml:space="preserve">the </w:t>
      </w:r>
      <w:r w:rsidRPr="00794D7E">
        <w:rPr>
          <w:rFonts w:ascii="Times" w:hAnsi="Times" w:cs="Times"/>
          <w:lang w:val="en-GB"/>
        </w:rPr>
        <w:t xml:space="preserve">appropriate </w:t>
      </w:r>
      <w:r w:rsidR="00794D7E" w:rsidRPr="00794D7E">
        <w:rPr>
          <w:rFonts w:ascii="Times" w:hAnsi="Times" w:cs="Times"/>
          <w:lang w:val="en-GB"/>
        </w:rPr>
        <w:t xml:space="preserve">classifications of </w:t>
      </w:r>
      <w:proofErr w:type="gramStart"/>
      <w:r w:rsidR="00794D7E" w:rsidRPr="00794D7E">
        <w:rPr>
          <w:rFonts w:ascii="Times" w:hAnsi="Times" w:cs="Times"/>
          <w:lang w:val="en-GB"/>
        </w:rPr>
        <w:t>crimes</w:t>
      </w:r>
      <w:r w:rsidR="00D06BDE" w:rsidRPr="00794D7E">
        <w:rPr>
          <w:rFonts w:ascii="Times" w:hAnsi="Times" w:cs="Times"/>
          <w:lang w:val="en-GB"/>
        </w:rPr>
        <w:t>;</w:t>
      </w:r>
      <w:proofErr w:type="gramEnd"/>
      <w:r w:rsidR="00D06BDE" w:rsidRPr="00794D7E">
        <w:rPr>
          <w:rFonts w:ascii="Times" w:hAnsi="Times" w:cs="Times"/>
          <w:lang w:val="en-GB"/>
        </w:rPr>
        <w:t xml:space="preserve"> </w:t>
      </w:r>
    </w:p>
    <w:p w14:paraId="3138F115" w14:textId="77777777" w:rsidR="00D06BDE" w:rsidRPr="003D4C55" w:rsidRDefault="00794D7E" w:rsidP="00D06BDE">
      <w:pPr>
        <w:pStyle w:val="Paragrafoelenco"/>
        <w:numPr>
          <w:ilvl w:val="0"/>
          <w:numId w:val="1"/>
        </w:numPr>
        <w:spacing w:line="240" w:lineRule="exact"/>
        <w:ind w:left="284" w:hanging="284"/>
        <w:rPr>
          <w:rFonts w:ascii="Times" w:hAnsi="Times" w:cs="Times"/>
          <w:lang w:val="en-GB"/>
        </w:rPr>
      </w:pPr>
      <w:r w:rsidRPr="003D4C55">
        <w:rPr>
          <w:rFonts w:ascii="Times" w:hAnsi="Times" w:cs="Times"/>
          <w:lang w:val="en-GB"/>
        </w:rPr>
        <w:t>understand the rules of evidence and the judging rules</w:t>
      </w:r>
      <w:r w:rsidR="003D4C55" w:rsidRPr="003D4C55">
        <w:rPr>
          <w:rFonts w:ascii="Times" w:hAnsi="Times" w:cs="Times"/>
          <w:lang w:val="en-GB"/>
        </w:rPr>
        <w:t xml:space="preserve"> through which criminal offence investigation is carried </w:t>
      </w:r>
      <w:proofErr w:type="gramStart"/>
      <w:r w:rsidR="003D4C55" w:rsidRPr="003D4C55">
        <w:rPr>
          <w:rFonts w:ascii="Times" w:hAnsi="Times" w:cs="Times"/>
          <w:lang w:val="en-GB"/>
        </w:rPr>
        <w:t>out</w:t>
      </w:r>
      <w:r w:rsidR="00D06BDE" w:rsidRPr="003D4C55">
        <w:rPr>
          <w:rFonts w:ascii="Times" w:hAnsi="Times" w:cs="Times"/>
          <w:lang w:val="en-GB"/>
        </w:rPr>
        <w:t>;</w:t>
      </w:r>
      <w:proofErr w:type="gramEnd"/>
    </w:p>
    <w:p w14:paraId="70857397" w14:textId="77777777" w:rsidR="001D1724" w:rsidRPr="001D1724" w:rsidRDefault="003D4C55" w:rsidP="00D06BDE">
      <w:pPr>
        <w:pStyle w:val="Paragrafoelenco"/>
        <w:numPr>
          <w:ilvl w:val="0"/>
          <w:numId w:val="1"/>
        </w:numPr>
        <w:spacing w:line="240" w:lineRule="exact"/>
        <w:ind w:left="284" w:hanging="284"/>
        <w:rPr>
          <w:rFonts w:ascii="Times" w:hAnsi="Times" w:cs="Times"/>
          <w:lang w:val="en-GB"/>
        </w:rPr>
      </w:pPr>
      <w:r w:rsidRPr="001D1724">
        <w:rPr>
          <w:rFonts w:ascii="Times" w:hAnsi="Times" w:cs="Times"/>
          <w:lang w:val="en-GB"/>
        </w:rPr>
        <w:t>recognise the effects of corporate criminal law</w:t>
      </w:r>
      <w:r w:rsidR="001D1724">
        <w:rPr>
          <w:rFonts w:ascii="Times" w:hAnsi="Times" w:cs="Times"/>
          <w:lang w:val="en-GB"/>
        </w:rPr>
        <w:t xml:space="preserve"> on the organisational</w:t>
      </w:r>
      <w:r w:rsidRPr="001D1724">
        <w:rPr>
          <w:rFonts w:ascii="Times" w:hAnsi="Times" w:cs="Times"/>
          <w:lang w:val="en-GB"/>
        </w:rPr>
        <w:t xml:space="preserve"> </w:t>
      </w:r>
      <w:r w:rsidR="001D1724" w:rsidRPr="001D1724">
        <w:rPr>
          <w:rFonts w:ascii="Times" w:hAnsi="Times" w:cs="Times"/>
          <w:lang w:val="en-GB"/>
        </w:rPr>
        <w:t xml:space="preserve">aspects of </w:t>
      </w:r>
      <w:r w:rsidRPr="001D1724">
        <w:rPr>
          <w:rFonts w:ascii="Times" w:hAnsi="Times" w:cs="Times"/>
          <w:lang w:val="en-GB"/>
        </w:rPr>
        <w:t>institutions</w:t>
      </w:r>
      <w:r w:rsidR="001D1724">
        <w:rPr>
          <w:rFonts w:ascii="Times" w:hAnsi="Times" w:cs="Times"/>
          <w:lang w:val="en-GB"/>
        </w:rPr>
        <w:t xml:space="preserve">, as well as on their </w:t>
      </w:r>
      <w:proofErr w:type="gramStart"/>
      <w:r w:rsidR="001D1724">
        <w:rPr>
          <w:rFonts w:ascii="Times" w:hAnsi="Times" w:cs="Times"/>
          <w:lang w:val="en-GB"/>
        </w:rPr>
        <w:t>responsibility;</w:t>
      </w:r>
      <w:proofErr w:type="gramEnd"/>
    </w:p>
    <w:p w14:paraId="4AB05434" w14:textId="77777777" w:rsidR="00D06BDE" w:rsidRPr="00211629" w:rsidRDefault="001D1724" w:rsidP="00D06BDE">
      <w:pPr>
        <w:pStyle w:val="Paragrafoelenco"/>
        <w:numPr>
          <w:ilvl w:val="0"/>
          <w:numId w:val="1"/>
        </w:numPr>
        <w:spacing w:line="240" w:lineRule="exact"/>
        <w:ind w:left="284" w:hanging="284"/>
        <w:rPr>
          <w:rFonts w:ascii="Times" w:hAnsi="Times" w:cs="Times"/>
          <w:color w:val="000000"/>
          <w:lang w:val="en-GB"/>
        </w:rPr>
      </w:pPr>
      <w:r w:rsidRPr="001D1724">
        <w:rPr>
          <w:rFonts w:ascii="Times" w:hAnsi="Times" w:cs="Times"/>
          <w:lang w:val="en-GB"/>
        </w:rPr>
        <w:t xml:space="preserve">analyse and critically evaluate the solutions offered by criminal law against the problems highlighted during the </w:t>
      </w:r>
      <w:proofErr w:type="gramStart"/>
      <w:r w:rsidRPr="001D1724">
        <w:rPr>
          <w:rFonts w:ascii="Times" w:hAnsi="Times" w:cs="Times"/>
          <w:lang w:val="en-GB"/>
        </w:rPr>
        <w:t>course</w:t>
      </w:r>
      <w:r w:rsidR="00D06BDE" w:rsidRPr="001D1724">
        <w:rPr>
          <w:rFonts w:ascii="Times" w:hAnsi="Times" w:cs="Times"/>
          <w:lang w:val="en-GB"/>
        </w:rPr>
        <w:t>;</w:t>
      </w:r>
      <w:proofErr w:type="gramEnd"/>
      <w:r w:rsidR="00D06BDE" w:rsidRPr="00211629">
        <w:rPr>
          <w:rFonts w:ascii="Times" w:hAnsi="Times" w:cs="Times"/>
          <w:color w:val="000000"/>
          <w:lang w:val="en-GB"/>
        </w:rPr>
        <w:t xml:space="preserve"> </w:t>
      </w:r>
    </w:p>
    <w:p w14:paraId="699B1B8A" w14:textId="77777777" w:rsidR="00D06BDE" w:rsidRPr="00211629" w:rsidRDefault="001D1724" w:rsidP="00D06BDE">
      <w:pPr>
        <w:pStyle w:val="Paragrafoelenco"/>
        <w:numPr>
          <w:ilvl w:val="0"/>
          <w:numId w:val="1"/>
        </w:numPr>
        <w:spacing w:line="240" w:lineRule="exact"/>
        <w:ind w:left="284" w:hanging="284"/>
        <w:rPr>
          <w:rFonts w:ascii="Times" w:hAnsi="Times" w:cs="Times"/>
          <w:color w:val="000000"/>
          <w:lang w:val="en-GB"/>
        </w:rPr>
      </w:pPr>
      <w:r w:rsidRPr="00211629">
        <w:rPr>
          <w:rFonts w:ascii="Times" w:hAnsi="Times" w:cs="Times"/>
          <w:color w:val="000000"/>
          <w:lang w:val="en-GB"/>
        </w:rPr>
        <w:t xml:space="preserve">use a proper legal jargon, which is fundamental to discuss the topics analysed by corporate criminal </w:t>
      </w:r>
      <w:proofErr w:type="gramStart"/>
      <w:r w:rsidRPr="00211629">
        <w:rPr>
          <w:rFonts w:ascii="Times" w:hAnsi="Times" w:cs="Times"/>
          <w:color w:val="000000"/>
          <w:lang w:val="en-GB"/>
        </w:rPr>
        <w:t>law</w:t>
      </w:r>
      <w:r w:rsidR="00D06BDE" w:rsidRPr="00211629">
        <w:rPr>
          <w:rFonts w:ascii="Times" w:hAnsi="Times" w:cs="Times"/>
          <w:color w:val="000000"/>
          <w:lang w:val="en-GB"/>
        </w:rPr>
        <w:t>;</w:t>
      </w:r>
      <w:proofErr w:type="gramEnd"/>
    </w:p>
    <w:p w14:paraId="7E7C765D" w14:textId="77777777" w:rsidR="00D06BDE" w:rsidRPr="00220A36" w:rsidRDefault="001D1724" w:rsidP="00D06BDE">
      <w:pPr>
        <w:pStyle w:val="Paragrafoelenco"/>
        <w:numPr>
          <w:ilvl w:val="0"/>
          <w:numId w:val="1"/>
        </w:numPr>
        <w:spacing w:line="240" w:lineRule="exact"/>
        <w:ind w:left="284" w:hanging="284"/>
        <w:rPr>
          <w:rFonts w:ascii="Times" w:hAnsi="Times" w:cs="Times"/>
          <w:lang w:val="en-GB"/>
        </w:rPr>
      </w:pPr>
      <w:r w:rsidRPr="00220A36">
        <w:rPr>
          <w:rFonts w:ascii="Times" w:hAnsi="Times" w:cs="Times"/>
          <w:lang w:val="en-GB"/>
        </w:rPr>
        <w:t xml:space="preserve">carry out an appropriate analysis of practical issues </w:t>
      </w:r>
      <w:r w:rsidR="00220A36" w:rsidRPr="00220A36">
        <w:rPr>
          <w:rFonts w:ascii="Times" w:hAnsi="Times" w:cs="Times"/>
          <w:lang w:val="en-GB"/>
        </w:rPr>
        <w:t>based on</w:t>
      </w:r>
      <w:r w:rsidRPr="00220A36">
        <w:rPr>
          <w:rFonts w:ascii="Times" w:hAnsi="Times" w:cs="Times"/>
          <w:lang w:val="en-GB"/>
        </w:rPr>
        <w:t xml:space="preserve"> the</w:t>
      </w:r>
      <w:r w:rsidR="00220A36" w:rsidRPr="00220A36">
        <w:rPr>
          <w:rFonts w:ascii="Times" w:hAnsi="Times" w:cs="Times"/>
          <w:lang w:val="en-GB"/>
        </w:rPr>
        <w:t xml:space="preserve"> possible</w:t>
      </w:r>
      <w:r w:rsidRPr="00220A36">
        <w:rPr>
          <w:rFonts w:ascii="Times" w:hAnsi="Times" w:cs="Times"/>
          <w:lang w:val="en-GB"/>
        </w:rPr>
        <w:t xml:space="preserve"> risks </w:t>
      </w:r>
      <w:r w:rsidR="00220A36" w:rsidRPr="00220A36">
        <w:rPr>
          <w:rFonts w:ascii="Times" w:hAnsi="Times" w:cs="Times"/>
          <w:lang w:val="en-GB"/>
        </w:rPr>
        <w:t>of corporate criminal offences.</w:t>
      </w:r>
    </w:p>
    <w:p w14:paraId="07D5C9F2" w14:textId="77777777" w:rsidR="006D33D9" w:rsidRDefault="00D06BDE">
      <w:pPr>
        <w:spacing w:before="240" w:after="120"/>
        <w:rPr>
          <w:b/>
          <w:bCs/>
          <w:sz w:val="18"/>
          <w:szCs w:val="18"/>
          <w:lang w:val="en-US"/>
        </w:rPr>
      </w:pPr>
      <w:r>
        <w:rPr>
          <w:b/>
          <w:bCs/>
          <w:i/>
          <w:iCs/>
          <w:sz w:val="18"/>
          <w:szCs w:val="18"/>
          <w:lang w:val="en-US"/>
        </w:rPr>
        <w:t>COURSE CONTENT</w:t>
      </w:r>
    </w:p>
    <w:p w14:paraId="2FB0FBA4" w14:textId="77777777" w:rsidR="006D33D9" w:rsidRDefault="006B4E97">
      <w:pPr>
        <w:rPr>
          <w:lang w:val="en-US"/>
        </w:rPr>
      </w:pPr>
      <w:r>
        <w:rPr>
          <w:lang w:val="en-US"/>
        </w:rPr>
        <w:t>The first part of the course, which will revise the constitutional principles of refe</w:t>
      </w:r>
      <w:r>
        <w:rPr>
          <w:lang w:val="en-US"/>
        </w:rPr>
        <w:t>r</w:t>
      </w:r>
      <w:r>
        <w:rPr>
          <w:lang w:val="en-US"/>
        </w:rPr>
        <w:t xml:space="preserve">ence, will focus on the basics of criminal law and on the analysis of the crime structure, with particular attention to the issues of causality, guilt, improper </w:t>
      </w:r>
      <w:proofErr w:type="gramStart"/>
      <w:r>
        <w:rPr>
          <w:lang w:val="en-US"/>
        </w:rPr>
        <w:t>omi</w:t>
      </w:r>
      <w:r>
        <w:rPr>
          <w:lang w:val="en-US"/>
        </w:rPr>
        <w:t>s</w:t>
      </w:r>
      <w:r>
        <w:rPr>
          <w:lang w:val="en-US"/>
        </w:rPr>
        <w:t>sion</w:t>
      </w:r>
      <w:proofErr w:type="gramEnd"/>
      <w:r>
        <w:rPr>
          <w:lang w:val="en-US"/>
        </w:rPr>
        <w:t xml:space="preserve"> and co-conspiracy in crime. The various methods of protection used by the legislator in the repression of economic crime and the questions raised by the ide</w:t>
      </w:r>
      <w:r>
        <w:rPr>
          <w:lang w:val="en-US"/>
        </w:rPr>
        <w:t>n</w:t>
      </w:r>
      <w:r>
        <w:rPr>
          <w:lang w:val="en-US"/>
        </w:rPr>
        <w:t>tification of criminally responsible persons within complex organisations will be examined; in particular, the jurisprudential and regulatory evolution of function delegation and the criteria for attributing responsibility to collegial bodies. The course will then analyse regulation on criminal liability of institutions as provided for in Legislative Decree no. 231/2001, also in the light of the most recent applic</w:t>
      </w:r>
      <w:r>
        <w:rPr>
          <w:lang w:val="en-US"/>
        </w:rPr>
        <w:t>a</w:t>
      </w:r>
      <w:r>
        <w:rPr>
          <w:lang w:val="en-US"/>
        </w:rPr>
        <w:t xml:space="preserve">tion practices. </w:t>
      </w:r>
    </w:p>
    <w:p w14:paraId="33B29B4B" w14:textId="77777777" w:rsidR="006D33D9" w:rsidRDefault="006B4E97">
      <w:pPr>
        <w:rPr>
          <w:lang w:val="en-US"/>
        </w:rPr>
      </w:pPr>
      <w:r>
        <w:rPr>
          <w:lang w:val="en-US"/>
        </w:rPr>
        <w:lastRenderedPageBreak/>
        <w:t>In the second part of the course, attention will be focused on the most significant corporate, bankruptcy and tax offences, as well as criminal regulation of financial markets.</w:t>
      </w:r>
    </w:p>
    <w:p w14:paraId="65FC687B" w14:textId="77777777" w:rsidR="006D33D9" w:rsidRDefault="006B4E97">
      <w:pPr>
        <w:spacing w:before="240" w:after="120"/>
        <w:rPr>
          <w:b/>
          <w:bCs/>
          <w:i/>
          <w:iCs/>
          <w:sz w:val="18"/>
          <w:szCs w:val="18"/>
          <w:lang w:val="en-US"/>
        </w:rPr>
      </w:pPr>
      <w:r>
        <w:rPr>
          <w:b/>
          <w:bCs/>
          <w:i/>
          <w:iCs/>
          <w:sz w:val="18"/>
          <w:szCs w:val="18"/>
          <w:lang w:val="en-US"/>
        </w:rPr>
        <w:t>READING LIST</w:t>
      </w:r>
    </w:p>
    <w:p w14:paraId="1F412787" w14:textId="77777777" w:rsidR="006D33D9" w:rsidRDefault="006B4E97">
      <w:pPr>
        <w:pStyle w:val="Testo1"/>
      </w:pPr>
      <w:r>
        <w:t>For the general basics of criminal law, in particular: a) criminal and administrative crimes and offenses; b) major penalties and ancillary penalties; c) fraud, guilt and objective l</w:t>
      </w:r>
      <w:r>
        <w:t>i</w:t>
      </w:r>
      <w:r>
        <w:t>ability; d) attempt; e) criminal circumstances; f) criminal co-conspiracy and accessory crime</w:t>
      </w:r>
      <w:r w:rsidRPr="006B4E97">
        <w:t>s</w:t>
      </w:r>
      <w:r>
        <w:t xml:space="preserve">, students can refer (just those pages covering the </w:t>
      </w:r>
      <w:proofErr w:type="gramStart"/>
      <w:r>
        <w:t>aforementioned basics</w:t>
      </w:r>
      <w:proofErr w:type="gramEnd"/>
      <w:r>
        <w:t>) to:</w:t>
      </w:r>
    </w:p>
    <w:p w14:paraId="21962EA7" w14:textId="77777777" w:rsidR="006D33D9" w:rsidRPr="00C00A8F" w:rsidRDefault="006B4E97">
      <w:pPr>
        <w:spacing w:line="240" w:lineRule="atLeast"/>
        <w:ind w:left="284" w:hanging="284"/>
        <w:rPr>
          <w:rFonts w:ascii="Times" w:eastAsia="Times" w:hAnsi="Times" w:cs="Times"/>
          <w:sz w:val="18"/>
          <w:szCs w:val="18"/>
        </w:rPr>
      </w:pPr>
      <w:r w:rsidRPr="006B4E97">
        <w:rPr>
          <w:rFonts w:ascii="Times" w:hAnsi="Times"/>
          <w:smallCaps/>
          <w:sz w:val="16"/>
          <w:szCs w:val="16"/>
        </w:rPr>
        <w:t>G. Marinucci-E. Dolcini,</w:t>
      </w:r>
      <w:r w:rsidRPr="006B4E97">
        <w:rPr>
          <w:rFonts w:ascii="Times" w:hAnsi="Times"/>
          <w:i/>
          <w:iCs/>
          <w:sz w:val="18"/>
          <w:szCs w:val="18"/>
        </w:rPr>
        <w:t xml:space="preserve"> Manuale di diritto penale. Parte generale,</w:t>
      </w:r>
      <w:r w:rsidR="00D06BDE">
        <w:rPr>
          <w:rFonts w:ascii="Times" w:hAnsi="Times"/>
          <w:sz w:val="18"/>
          <w:szCs w:val="18"/>
        </w:rPr>
        <w:t xml:space="preserve"> Giuffrè, 20</w:t>
      </w:r>
      <w:r w:rsidR="0028182F">
        <w:rPr>
          <w:rFonts w:ascii="Times" w:hAnsi="Times"/>
          <w:sz w:val="18"/>
          <w:szCs w:val="18"/>
        </w:rPr>
        <w:t>21</w:t>
      </w:r>
      <w:r w:rsidRPr="006B4E97">
        <w:rPr>
          <w:rFonts w:ascii="Times" w:hAnsi="Times"/>
          <w:sz w:val="18"/>
          <w:szCs w:val="18"/>
        </w:rPr>
        <w:t xml:space="preserve">, </w:t>
      </w:r>
      <w:r w:rsidR="0028182F">
        <w:rPr>
          <w:rFonts w:ascii="Times" w:hAnsi="Times"/>
          <w:sz w:val="18"/>
          <w:szCs w:val="18"/>
        </w:rPr>
        <w:t>10</w:t>
      </w:r>
      <w:r w:rsidRPr="006B4E97">
        <w:rPr>
          <w:rFonts w:ascii="Times" w:hAnsi="Times"/>
          <w:sz w:val="18"/>
          <w:szCs w:val="18"/>
        </w:rPr>
        <w:t>th ed.</w:t>
      </w:r>
    </w:p>
    <w:p w14:paraId="19887085" w14:textId="77777777" w:rsidR="006D33D9" w:rsidRDefault="006B4E97">
      <w:pPr>
        <w:pStyle w:val="Testo1"/>
        <w:spacing w:before="120"/>
      </w:pPr>
      <w:r>
        <w:t xml:space="preserve">Students </w:t>
      </w:r>
      <w:r w:rsidRPr="006B4E97">
        <w:t>may</w:t>
      </w:r>
      <w:r>
        <w:t xml:space="preserve"> also study the general section in the lecture notes.</w:t>
      </w:r>
    </w:p>
    <w:p w14:paraId="22516C78" w14:textId="77777777" w:rsidR="006D33D9" w:rsidRDefault="006B4E97">
      <w:pPr>
        <w:pStyle w:val="Testo1"/>
        <w:spacing w:before="120"/>
      </w:pPr>
      <w:r>
        <w:t>For the basics from the special section, the reference text</w:t>
      </w:r>
      <w:r w:rsidR="00EC6B0A">
        <w:t>s are</w:t>
      </w:r>
      <w:r>
        <w:t>:</w:t>
      </w:r>
    </w:p>
    <w:p w14:paraId="28BAFC61" w14:textId="77777777" w:rsidR="00EC6B0A" w:rsidRPr="00EC6B0A" w:rsidRDefault="00EC6B0A" w:rsidP="00EC6B0A">
      <w:pPr>
        <w:pStyle w:val="Testo1"/>
        <w:rPr>
          <w:lang w:val="it-IT"/>
        </w:rPr>
      </w:pPr>
      <w:bookmarkStart w:id="0" w:name="_Hlk41476804"/>
      <w:r w:rsidRPr="00EC6B0A">
        <w:rPr>
          <w:rFonts w:eastAsia="MS Mincho"/>
          <w:smallCaps/>
          <w:spacing w:val="-5"/>
          <w:sz w:val="16"/>
          <w:lang w:val="it-IT"/>
        </w:rPr>
        <w:t>A.</w:t>
      </w:r>
      <w:r w:rsidRPr="00EC6B0A">
        <w:rPr>
          <w:smallCaps/>
          <w:lang w:val="it-IT"/>
        </w:rPr>
        <w:t xml:space="preserve"> Alessandri</w:t>
      </w:r>
      <w:bookmarkStart w:id="1" w:name="_Hlk41476549"/>
      <w:bookmarkEnd w:id="0"/>
      <w:r>
        <w:rPr>
          <w:smallCaps/>
          <w:lang w:val="it-IT"/>
        </w:rPr>
        <w:t>-</w:t>
      </w:r>
      <w:r w:rsidRPr="00EC6B0A">
        <w:rPr>
          <w:smallCaps/>
          <w:lang w:val="it-IT"/>
        </w:rPr>
        <w:t>S. Seminara</w:t>
      </w:r>
      <w:r w:rsidRPr="00EC6B0A">
        <w:rPr>
          <w:lang w:val="it-IT"/>
        </w:rPr>
        <w:t xml:space="preserve">, </w:t>
      </w:r>
      <w:r w:rsidRPr="00EC6B0A">
        <w:rPr>
          <w:i/>
          <w:iCs/>
          <w:lang w:val="it-IT"/>
        </w:rPr>
        <w:t>Diritto penale commerciale, Vol. 1. I principi generali</w:t>
      </w:r>
      <w:r w:rsidRPr="00EC6B0A">
        <w:rPr>
          <w:lang w:val="it-IT"/>
        </w:rPr>
        <w:t>, Gia</w:t>
      </w:r>
      <w:r w:rsidRPr="00EC6B0A">
        <w:rPr>
          <w:lang w:val="it-IT"/>
        </w:rPr>
        <w:t>p</w:t>
      </w:r>
      <w:r w:rsidRPr="00EC6B0A">
        <w:rPr>
          <w:lang w:val="it-IT"/>
        </w:rPr>
        <w:t>pichelli, 2018</w:t>
      </w:r>
      <w:bookmarkEnd w:id="1"/>
      <w:r w:rsidRPr="00EC6B0A">
        <w:rPr>
          <w:lang w:val="it-IT"/>
        </w:rPr>
        <w:t>.</w:t>
      </w:r>
    </w:p>
    <w:p w14:paraId="2870E557" w14:textId="77777777" w:rsidR="00EC6B0A" w:rsidRPr="00EC6B0A" w:rsidRDefault="00EC6B0A" w:rsidP="00EC6B0A">
      <w:pPr>
        <w:pStyle w:val="Testo1"/>
        <w:rPr>
          <w:lang w:val="it-IT"/>
        </w:rPr>
      </w:pPr>
      <w:bookmarkStart w:id="2" w:name="_Hlk41476740"/>
      <w:r w:rsidRPr="00EC6B0A">
        <w:rPr>
          <w:smallCaps/>
          <w:lang w:val="it-IT"/>
        </w:rPr>
        <w:t>S. Seminara</w:t>
      </w:r>
      <w:r w:rsidRPr="00EC6B0A">
        <w:rPr>
          <w:lang w:val="it-IT"/>
        </w:rPr>
        <w:t xml:space="preserve">, </w:t>
      </w:r>
      <w:r w:rsidRPr="00EC6B0A">
        <w:rPr>
          <w:i/>
          <w:iCs/>
          <w:lang w:val="it-IT"/>
        </w:rPr>
        <w:t>Diritto penale commerciale, Vol. 2. I reati societari</w:t>
      </w:r>
      <w:r w:rsidRPr="00EC6B0A">
        <w:rPr>
          <w:lang w:val="it-IT"/>
        </w:rPr>
        <w:t>, Giappichelli, 20</w:t>
      </w:r>
      <w:r w:rsidR="00737A20">
        <w:rPr>
          <w:lang w:val="it-IT"/>
        </w:rPr>
        <w:t>21, 2nd ed.</w:t>
      </w:r>
      <w:r w:rsidRPr="00EC6B0A">
        <w:rPr>
          <w:lang w:val="it-IT"/>
        </w:rPr>
        <w:t xml:space="preserve"> (</w:t>
      </w:r>
      <w:proofErr w:type="gramStart"/>
      <w:r>
        <w:rPr>
          <w:lang w:val="it-IT"/>
        </w:rPr>
        <w:t>e</w:t>
      </w:r>
      <w:r>
        <w:rPr>
          <w:lang w:val="it-IT"/>
        </w:rPr>
        <w:t xml:space="preserve">xcept </w:t>
      </w:r>
      <w:r w:rsidRPr="00EC6B0A">
        <w:rPr>
          <w:lang w:val="it-IT"/>
        </w:rPr>
        <w:t xml:space="preserve"> c</w:t>
      </w:r>
      <w:r>
        <w:rPr>
          <w:lang w:val="it-IT"/>
        </w:rPr>
        <w:t>h</w:t>
      </w:r>
      <w:r w:rsidRPr="00EC6B0A">
        <w:rPr>
          <w:lang w:val="it-IT"/>
        </w:rPr>
        <w:t>ap</w:t>
      </w:r>
      <w:proofErr w:type="gramEnd"/>
      <w:r w:rsidRPr="00EC6B0A">
        <w:rPr>
          <w:lang w:val="it-IT"/>
        </w:rPr>
        <w:t>. III).</w:t>
      </w:r>
    </w:p>
    <w:bookmarkEnd w:id="2"/>
    <w:p w14:paraId="0E1AF4C1" w14:textId="77777777" w:rsidR="00EC6B0A" w:rsidRPr="00EC6B0A" w:rsidRDefault="00EC6B0A" w:rsidP="00EC6B0A">
      <w:pPr>
        <w:pStyle w:val="Testo1"/>
        <w:rPr>
          <w:lang w:val="it-IT"/>
        </w:rPr>
      </w:pPr>
      <w:r w:rsidRPr="00EC6B0A">
        <w:rPr>
          <w:smallCaps/>
          <w:lang w:val="it-IT"/>
        </w:rPr>
        <w:t>S. Seminara</w:t>
      </w:r>
      <w:r w:rsidRPr="00EC6B0A">
        <w:rPr>
          <w:lang w:val="it-IT"/>
        </w:rPr>
        <w:t xml:space="preserve">, </w:t>
      </w:r>
      <w:bookmarkStart w:id="3" w:name="_Hlk41476834"/>
      <w:r w:rsidRPr="00EC6B0A">
        <w:rPr>
          <w:i/>
          <w:iCs/>
          <w:lang w:val="it-IT"/>
        </w:rPr>
        <w:t>Diritto penale commerciale, Vol. 3. Il diritto penale del mercato mobiliare</w:t>
      </w:r>
      <w:bookmarkEnd w:id="3"/>
      <w:r w:rsidRPr="00EC6B0A">
        <w:rPr>
          <w:lang w:val="it-IT"/>
        </w:rPr>
        <w:t>, Giappichelli, 2018 (</w:t>
      </w:r>
      <w:proofErr w:type="gramStart"/>
      <w:r>
        <w:rPr>
          <w:lang w:val="it-IT"/>
        </w:rPr>
        <w:t xml:space="preserve">except </w:t>
      </w:r>
      <w:r w:rsidRPr="00EC6B0A">
        <w:rPr>
          <w:lang w:val="it-IT"/>
        </w:rPr>
        <w:t xml:space="preserve"> c</w:t>
      </w:r>
      <w:r>
        <w:rPr>
          <w:lang w:val="it-IT"/>
        </w:rPr>
        <w:t>hap</w:t>
      </w:r>
      <w:proofErr w:type="gramEnd"/>
      <w:r w:rsidRPr="00EC6B0A">
        <w:rPr>
          <w:lang w:val="it-IT"/>
        </w:rPr>
        <w:t>. II).</w:t>
      </w:r>
    </w:p>
    <w:p w14:paraId="3B2C41CB" w14:textId="77777777" w:rsidR="00EC6B0A" w:rsidRDefault="00EC6B0A" w:rsidP="00EC6B0A">
      <w:pPr>
        <w:pStyle w:val="Testo1"/>
        <w:jc w:val="left"/>
        <w:rPr>
          <w:lang w:val="it-IT"/>
        </w:rPr>
      </w:pPr>
      <w:r w:rsidRPr="00EC6B0A">
        <w:rPr>
          <w:smallCaps/>
          <w:lang w:val="it-IT"/>
        </w:rPr>
        <w:t xml:space="preserve">A. Alessandri, </w:t>
      </w:r>
      <w:r w:rsidRPr="00EC6B0A">
        <w:rPr>
          <w:i/>
          <w:iCs/>
          <w:lang w:val="it-IT"/>
        </w:rPr>
        <w:t>Diritto penale commerciale. Vol. 4. I reati fallimentari</w:t>
      </w:r>
      <w:r w:rsidRPr="00EC6B0A">
        <w:rPr>
          <w:lang w:val="it-IT"/>
        </w:rPr>
        <w:t>, Giappichelli, 2019.</w:t>
      </w:r>
    </w:p>
    <w:p w14:paraId="2BE4CCA2" w14:textId="77777777" w:rsidR="00FD2858" w:rsidRDefault="00FD2858" w:rsidP="00EC6B0A">
      <w:pPr>
        <w:pStyle w:val="Testo1"/>
        <w:jc w:val="left"/>
        <w:rPr>
          <w:lang w:val="it-IT"/>
        </w:rPr>
      </w:pPr>
    </w:p>
    <w:p w14:paraId="038B2C0F" w14:textId="77777777" w:rsidR="00FD2858" w:rsidRPr="00FD2858" w:rsidRDefault="00FD2858" w:rsidP="00FD2858">
      <w:pPr>
        <w:pStyle w:val="Testo1"/>
        <w:rPr>
          <w:lang w:val="en-GB"/>
        </w:rPr>
      </w:pPr>
      <w:r w:rsidRPr="00FD2858">
        <w:rPr>
          <w:lang w:val="en-GB"/>
        </w:rPr>
        <w:t xml:space="preserve">Students are invited to check the </w:t>
      </w:r>
      <w:r>
        <w:rPr>
          <w:lang w:val="en-GB"/>
        </w:rPr>
        <w:t xml:space="preserve">bibliographical references in Blackboard just before the beginning of the course: due </w:t>
      </w:r>
      <w:r w:rsidR="00C4387C">
        <w:rPr>
          <w:lang w:val="en-GB"/>
        </w:rPr>
        <w:t>to frequent changes in legislation, it is possible that u</w:t>
      </w:r>
      <w:r w:rsidR="00C4387C">
        <w:rPr>
          <w:lang w:val="en-GB"/>
        </w:rPr>
        <w:t>p</w:t>
      </w:r>
      <w:r w:rsidR="00C4387C">
        <w:rPr>
          <w:lang w:val="en-GB"/>
        </w:rPr>
        <w:t>dated readings will be suggested.</w:t>
      </w:r>
    </w:p>
    <w:p w14:paraId="0D2600B0" w14:textId="77777777" w:rsidR="006D33D9" w:rsidRDefault="006B4E97">
      <w:pPr>
        <w:pStyle w:val="Testo1"/>
        <w:spacing w:before="120"/>
      </w:pPr>
      <w:r>
        <w:rPr>
          <w:i/>
          <w:iCs/>
        </w:rPr>
        <w:t>Case studies and slides</w:t>
      </w:r>
      <w:r>
        <w:t xml:space="preserve"> will be published in the Blackboard area reserved for students e</w:t>
      </w:r>
      <w:r>
        <w:t>n</w:t>
      </w:r>
      <w:r>
        <w:t>rolled in the course.</w:t>
      </w:r>
    </w:p>
    <w:p w14:paraId="05F50D20" w14:textId="77777777" w:rsidR="006D33D9" w:rsidRDefault="006B4E97">
      <w:pPr>
        <w:spacing w:before="240" w:after="120" w:line="220" w:lineRule="exact"/>
        <w:rPr>
          <w:b/>
          <w:bCs/>
          <w:i/>
          <w:iCs/>
          <w:sz w:val="18"/>
          <w:szCs w:val="18"/>
          <w:lang w:val="en-US"/>
        </w:rPr>
      </w:pPr>
      <w:r>
        <w:rPr>
          <w:b/>
          <w:bCs/>
          <w:i/>
          <w:iCs/>
          <w:sz w:val="18"/>
          <w:szCs w:val="18"/>
          <w:lang w:val="en-US"/>
        </w:rPr>
        <w:t>TEACHING METHOD</w:t>
      </w:r>
    </w:p>
    <w:p w14:paraId="2505260C" w14:textId="77777777" w:rsidR="006D33D9" w:rsidRDefault="006B4E97">
      <w:pPr>
        <w:pStyle w:val="Testo2"/>
      </w:pPr>
      <w:r>
        <w:t>This blended course includes face-to-face activities (50%) and distance activities (50%). Distance activities include video lectures (asynchronous), practical webinars and live fee</w:t>
      </w:r>
      <w:r>
        <w:t>d</w:t>
      </w:r>
      <w:r>
        <w:t>back (conducted synchronously via web</w:t>
      </w:r>
      <w:r w:rsidR="00737A20">
        <w:t xml:space="preserve"> </w:t>
      </w:r>
      <w:r>
        <w:t>conference).</w:t>
      </w:r>
    </w:p>
    <w:p w14:paraId="51914E49" w14:textId="77777777" w:rsidR="006D33D9" w:rsidRDefault="006B4E97">
      <w:pPr>
        <w:pStyle w:val="Testo2"/>
      </w:pPr>
      <w:r>
        <w:t>Face-to-face lectures will be devoted to the examination of more general topics. The video lectures will go into the</w:t>
      </w:r>
      <w:r w:rsidRPr="006B4E97">
        <w:t xml:space="preserve"> </w:t>
      </w:r>
      <w:r>
        <w:t xml:space="preserve">specifics of individual </w:t>
      </w:r>
      <w:proofErr w:type="gramStart"/>
      <w:r w:rsidRPr="006B4E97">
        <w:t>topics</w:t>
      </w:r>
      <w:r>
        <w:t>, and</w:t>
      </w:r>
      <w:proofErr w:type="gramEnd"/>
      <w:r>
        <w:t xml:space="preserve"> will prove very useful to students as a means of re-listening to lectures in preparation for the exams. The (synchr</w:t>
      </w:r>
      <w:r>
        <w:t>o</w:t>
      </w:r>
      <w:r>
        <w:t xml:space="preserve">nous) webinars will involve the discussion of leading jurisprudential cases. Participation in </w:t>
      </w:r>
      <w:r w:rsidRPr="006B4E97">
        <w:t>these</w:t>
      </w:r>
      <w:r>
        <w:t xml:space="preserve"> practical webinars will require student</w:t>
      </w:r>
      <w:r w:rsidRPr="006B4E97">
        <w:t>s</w:t>
      </w:r>
      <w:r>
        <w:t xml:space="preserve"> to read the reference judgments.</w:t>
      </w:r>
    </w:p>
    <w:p w14:paraId="4E751BA3" w14:textId="77777777" w:rsidR="006D33D9" w:rsidRDefault="006B4E97">
      <w:pPr>
        <w:pStyle w:val="Testo2"/>
      </w:pPr>
      <w:r>
        <w:t>Appropriate feedback webinars will allow students to clarify any doubts they have e</w:t>
      </w:r>
      <w:r>
        <w:t>n</w:t>
      </w:r>
      <w:r>
        <w:t xml:space="preserve">countered during the lectures. </w:t>
      </w:r>
    </w:p>
    <w:p w14:paraId="7DB2233D" w14:textId="77777777" w:rsidR="006D33D9" w:rsidRDefault="006B4E97">
      <w:pPr>
        <w:pStyle w:val="Testo2"/>
      </w:pPr>
      <w:r>
        <w:t xml:space="preserve">The syllabus containing the </w:t>
      </w:r>
      <w:r w:rsidRPr="006B4E97">
        <w:t xml:space="preserve">detailed </w:t>
      </w:r>
      <w:r>
        <w:t>course</w:t>
      </w:r>
      <w:r w:rsidRPr="006B4E97">
        <w:t xml:space="preserve"> content </w:t>
      </w:r>
      <w:r>
        <w:t>will be communicated on Blac</w:t>
      </w:r>
      <w:r>
        <w:t>k</w:t>
      </w:r>
      <w:r>
        <w:t>board.</w:t>
      </w:r>
    </w:p>
    <w:p w14:paraId="35FED1FF" w14:textId="77777777" w:rsidR="00D06BDE" w:rsidRPr="00906645" w:rsidRDefault="00D06BDE" w:rsidP="00D06BDE">
      <w:pPr>
        <w:spacing w:before="240" w:after="120" w:line="220" w:lineRule="exact"/>
        <w:rPr>
          <w:b/>
          <w:i/>
          <w:sz w:val="18"/>
          <w:lang w:val="en-US"/>
        </w:rPr>
      </w:pPr>
      <w:r w:rsidRPr="00906645">
        <w:rPr>
          <w:b/>
          <w:i/>
          <w:sz w:val="18"/>
          <w:lang w:val="en-US"/>
        </w:rPr>
        <w:t>ASSESSMENT METHOD AND CRITERIA</w:t>
      </w:r>
    </w:p>
    <w:p w14:paraId="0BCB00C7" w14:textId="77777777" w:rsidR="006D33D9" w:rsidRDefault="006B4E97">
      <w:pPr>
        <w:pStyle w:val="Testo2"/>
      </w:pPr>
      <w:r>
        <w:lastRenderedPageBreak/>
        <w:t>A. Ongoing assessment</w:t>
      </w:r>
    </w:p>
    <w:p w14:paraId="05E97D4E" w14:textId="77777777" w:rsidR="00D06BDE" w:rsidRPr="00B23231" w:rsidRDefault="006B4E97" w:rsidP="00D06BDE">
      <w:pPr>
        <w:pStyle w:val="Testo2"/>
        <w:ind w:left="567" w:hanging="284"/>
        <w:rPr>
          <w:lang w:val="en-GB"/>
        </w:rPr>
      </w:pPr>
      <w:r w:rsidRPr="00B23231">
        <w:rPr>
          <w:lang w:val="en-GB"/>
        </w:rPr>
        <w:t xml:space="preserve">For students who opt for the ongoing assessment: </w:t>
      </w:r>
    </w:p>
    <w:p w14:paraId="6978D6DA" w14:textId="77777777" w:rsidR="00D06BDE" w:rsidRPr="00220A36" w:rsidRDefault="00D06BDE" w:rsidP="00D06BDE">
      <w:pPr>
        <w:pStyle w:val="Testo2"/>
        <w:ind w:left="567" w:hanging="284"/>
        <w:rPr>
          <w:rFonts w:eastAsia="Times New Roman" w:cs="Times New Roman"/>
          <w:noProof/>
          <w:color w:val="auto"/>
          <w:bdr w:val="none" w:sz="0" w:space="0" w:color="auto"/>
          <w:lang w:val="en-GB"/>
        </w:rPr>
      </w:pPr>
      <w:r w:rsidRPr="00220A36">
        <w:rPr>
          <w:rFonts w:eastAsia="Times New Roman" w:cs="Times New Roman"/>
          <w:noProof/>
          <w:color w:val="auto"/>
          <w:bdr w:val="none" w:sz="0" w:space="0" w:color="auto"/>
          <w:lang w:val="en-GB"/>
        </w:rPr>
        <w:t>–</w:t>
      </w:r>
      <w:r w:rsidRPr="00220A36">
        <w:rPr>
          <w:rFonts w:eastAsia="Times New Roman" w:cs="Times New Roman"/>
          <w:noProof/>
          <w:color w:val="auto"/>
          <w:bdr w:val="none" w:sz="0" w:space="0" w:color="auto"/>
          <w:lang w:val="en-GB"/>
        </w:rPr>
        <w:tab/>
      </w:r>
      <w:r w:rsidR="008A308A">
        <w:rPr>
          <w:rFonts w:eastAsia="Times New Roman" w:cs="Times New Roman"/>
          <w:noProof/>
          <w:color w:val="auto"/>
          <w:bdr w:val="none" w:sz="0" w:space="0" w:color="auto"/>
          <w:lang w:val="en-GB"/>
        </w:rPr>
        <w:t>50</w:t>
      </w:r>
      <w:r w:rsidR="00220A36" w:rsidRPr="00220A36">
        <w:rPr>
          <w:rFonts w:eastAsia="Times New Roman" w:cs="Times New Roman"/>
          <w:noProof/>
          <w:color w:val="auto"/>
          <w:bdr w:val="none" w:sz="0" w:space="0" w:color="auto"/>
          <w:lang w:val="en-GB"/>
        </w:rPr>
        <w:t>% of the final mark is given by two different tests taking place during the course: one on site</w:t>
      </w:r>
      <w:r w:rsidR="008A308A">
        <w:rPr>
          <w:rFonts w:eastAsia="Times New Roman" w:cs="Times New Roman"/>
          <w:noProof/>
          <w:color w:val="auto"/>
          <w:bdr w:val="none" w:sz="0" w:space="0" w:color="auto"/>
          <w:lang w:val="en-GB"/>
        </w:rPr>
        <w:t xml:space="preserve"> (30%)</w:t>
      </w:r>
      <w:r w:rsidR="00220A36" w:rsidRPr="00220A36">
        <w:rPr>
          <w:rFonts w:eastAsia="Times New Roman" w:cs="Times New Roman"/>
          <w:noProof/>
          <w:color w:val="auto"/>
          <w:bdr w:val="none" w:sz="0" w:space="0" w:color="auto"/>
          <w:lang w:val="en-GB"/>
        </w:rPr>
        <w:t>, and the other on remote device</w:t>
      </w:r>
      <w:r w:rsidR="008A308A">
        <w:rPr>
          <w:rFonts w:eastAsia="Times New Roman" w:cs="Times New Roman"/>
          <w:noProof/>
          <w:color w:val="auto"/>
          <w:bdr w:val="none" w:sz="0" w:space="0" w:color="auto"/>
          <w:lang w:val="en-GB"/>
        </w:rPr>
        <w:t xml:space="preserve"> (20%)</w:t>
      </w:r>
      <w:r w:rsidR="00220A36" w:rsidRPr="00220A36">
        <w:rPr>
          <w:rFonts w:eastAsia="Times New Roman" w:cs="Times New Roman"/>
          <w:noProof/>
          <w:color w:val="auto"/>
          <w:bdr w:val="none" w:sz="0" w:space="0" w:color="auto"/>
          <w:lang w:val="en-GB"/>
        </w:rPr>
        <w:t>; these tests will be focused on open-ended and multiple choice questions, depending on the contents and the duration (further information will be made available on Blackboard for enrolled students</w:t>
      </w:r>
      <w:r w:rsidR="00220A36">
        <w:rPr>
          <w:rFonts w:eastAsia="Times New Roman" w:cs="Times New Roman"/>
          <w:noProof/>
          <w:color w:val="auto"/>
          <w:bdr w:val="none" w:sz="0" w:space="0" w:color="auto"/>
          <w:lang w:val="en-GB"/>
        </w:rPr>
        <w:t>)</w:t>
      </w:r>
      <w:r w:rsidRPr="00220A36">
        <w:rPr>
          <w:rFonts w:eastAsia="Times New Roman" w:cs="Times New Roman"/>
          <w:noProof/>
          <w:color w:val="auto"/>
          <w:bdr w:val="none" w:sz="0" w:space="0" w:color="auto"/>
          <w:lang w:val="en-GB"/>
        </w:rPr>
        <w:t>;</w:t>
      </w:r>
    </w:p>
    <w:p w14:paraId="5BD747E7" w14:textId="77777777" w:rsidR="006D33D9" w:rsidRDefault="00D06BDE" w:rsidP="00D06BDE">
      <w:pPr>
        <w:pStyle w:val="Testo2"/>
        <w:tabs>
          <w:tab w:val="left" w:pos="284"/>
          <w:tab w:val="left" w:pos="708"/>
          <w:tab w:val="left" w:pos="1416"/>
          <w:tab w:val="left" w:pos="2124"/>
          <w:tab w:val="left" w:pos="2832"/>
          <w:tab w:val="left" w:pos="3540"/>
          <w:tab w:val="left" w:pos="4248"/>
          <w:tab w:val="left" w:pos="4956"/>
          <w:tab w:val="left" w:pos="5664"/>
          <w:tab w:val="left" w:pos="6184"/>
        </w:tabs>
        <w:ind w:left="567" w:hanging="283"/>
      </w:pPr>
      <w:r w:rsidRPr="00D06BDE">
        <w:t>–</w:t>
      </w:r>
      <w:r w:rsidRPr="00D06BDE">
        <w:tab/>
      </w:r>
      <w:r w:rsidR="008A308A">
        <w:t>5</w:t>
      </w:r>
      <w:r w:rsidR="006B4E97">
        <w:t xml:space="preserve">0% of the assessment will be based on a final </w:t>
      </w:r>
      <w:r w:rsidR="006B4E97" w:rsidRPr="006B4E97">
        <w:t>oral</w:t>
      </w:r>
      <w:r w:rsidR="006B4E97">
        <w:t xml:space="preserve"> test. The final test may only be taken following a positive assessment of the tests </w:t>
      </w:r>
      <w:r w:rsidR="006B4E97" w:rsidRPr="006B4E97">
        <w:t>assigned</w:t>
      </w:r>
      <w:r w:rsidR="006B4E97">
        <w:t xml:space="preserve"> during the course. </w:t>
      </w:r>
      <w:proofErr w:type="gramStart"/>
      <w:r w:rsidR="006B4E97">
        <w:t>In o</w:t>
      </w:r>
      <w:r w:rsidR="006B4E97">
        <w:t>r</w:t>
      </w:r>
      <w:r w:rsidR="006B4E97">
        <w:t>der to</w:t>
      </w:r>
      <w:proofErr w:type="gramEnd"/>
      <w:r w:rsidR="006B4E97">
        <w:t xml:space="preserve"> pass the exam, the final test (to be taken </w:t>
      </w:r>
      <w:r w:rsidR="006B4E97" w:rsidRPr="006B4E97">
        <w:t>on</w:t>
      </w:r>
      <w:r w:rsidR="006B4E97">
        <w:t xml:space="preserve"> </w:t>
      </w:r>
      <w:r>
        <w:t xml:space="preserve">only </w:t>
      </w:r>
      <w:r w:rsidR="006B4E97">
        <w:t xml:space="preserve">one of the </w:t>
      </w:r>
      <w:r>
        <w:t>3</w:t>
      </w:r>
      <w:r w:rsidR="006B4E97">
        <w:t xml:space="preserve"> exam </w:t>
      </w:r>
      <w:r w:rsidR="006B4E97" w:rsidRPr="006B4E97">
        <w:t>dates</w:t>
      </w:r>
      <w:r w:rsidR="006B4E97">
        <w:t xml:space="preserve"> fo</w:t>
      </w:r>
      <w:r w:rsidR="006B4E97">
        <w:t>l</w:t>
      </w:r>
      <w:r w:rsidR="006B4E97">
        <w:t>lowing the end of the course) must be passed.</w:t>
      </w:r>
    </w:p>
    <w:p w14:paraId="6CEE5988" w14:textId="77777777" w:rsidR="006D33D9" w:rsidRDefault="006B4E97">
      <w:pPr>
        <w:pStyle w:val="Testo2"/>
        <w:spacing w:before="120"/>
        <w:rPr>
          <w:i/>
          <w:iCs/>
        </w:rPr>
      </w:pPr>
      <w:r>
        <w:t>B.</w:t>
      </w:r>
      <w:r>
        <w:tab/>
        <w:t>Single summative assessment</w:t>
      </w:r>
    </w:p>
    <w:p w14:paraId="0EEDB6D6" w14:textId="77777777" w:rsidR="006D33D9" w:rsidRDefault="006B4E97">
      <w:pPr>
        <w:pStyle w:val="Testo2"/>
        <w:tabs>
          <w:tab w:val="left" w:pos="284"/>
          <w:tab w:val="left" w:pos="708"/>
          <w:tab w:val="left" w:pos="1416"/>
          <w:tab w:val="left" w:pos="2124"/>
          <w:tab w:val="left" w:pos="2832"/>
          <w:tab w:val="left" w:pos="3540"/>
          <w:tab w:val="left" w:pos="4248"/>
          <w:tab w:val="left" w:pos="4956"/>
          <w:tab w:val="left" w:pos="5664"/>
          <w:tab w:val="left" w:pos="6184"/>
        </w:tabs>
      </w:pPr>
      <w:r w:rsidRPr="006B4E97">
        <w:t>S</w:t>
      </w:r>
      <w:r>
        <w:t xml:space="preserve">tudents who opt for a single assessment during the exam session will </w:t>
      </w:r>
      <w:r w:rsidRPr="006B4E97">
        <w:t>take an oral</w:t>
      </w:r>
      <w:r>
        <w:t xml:space="preserve"> exam</w:t>
      </w:r>
      <w:r w:rsidRPr="006B4E97">
        <w:t xml:space="preserve"> </w:t>
      </w:r>
      <w:r>
        <w:t>covering the entire course content.</w:t>
      </w:r>
    </w:p>
    <w:p w14:paraId="508BF01B" w14:textId="77777777" w:rsidR="00D06BDE" w:rsidRPr="00514034" w:rsidRDefault="00D06BDE" w:rsidP="00D06BDE">
      <w:pPr>
        <w:spacing w:before="240" w:after="120"/>
        <w:rPr>
          <w:b/>
          <w:i/>
          <w:sz w:val="18"/>
          <w:lang w:val="en-US"/>
        </w:rPr>
      </w:pPr>
      <w:r w:rsidRPr="00514034">
        <w:rPr>
          <w:b/>
          <w:i/>
          <w:sz w:val="18"/>
          <w:lang w:val="en-US"/>
        </w:rPr>
        <w:t>NOTES AND PREREQUISITES</w:t>
      </w:r>
    </w:p>
    <w:p w14:paraId="238716C6" w14:textId="77777777" w:rsidR="006D33D9" w:rsidRDefault="006B4E97">
      <w:pPr>
        <w:pStyle w:val="Testo2"/>
      </w:pPr>
      <w:r>
        <w:t xml:space="preserve">The course content will be supplemented with case studies. To this end, attendance is </w:t>
      </w:r>
      <w:r>
        <w:rPr>
          <w:i/>
          <w:iCs/>
        </w:rPr>
        <w:t>strongly</w:t>
      </w:r>
      <w:r>
        <w:t xml:space="preserve"> recommended, as constant reference will be made to the most recent case law. </w:t>
      </w:r>
    </w:p>
    <w:p w14:paraId="1081710A" w14:textId="77777777" w:rsidR="00EC6B0A" w:rsidRPr="006C2684" w:rsidRDefault="00EC6B0A" w:rsidP="00EC6B0A">
      <w:pPr>
        <w:spacing w:before="120"/>
        <w:ind w:firstLine="284"/>
        <w:rPr>
          <w:rFonts w:cs="Times New Roman"/>
          <w:sz w:val="18"/>
          <w:szCs w:val="18"/>
          <w:lang w:val="en-US"/>
        </w:rPr>
      </w:pPr>
      <w:r w:rsidRPr="006C2684">
        <w:rPr>
          <w:rFonts w:cs="Times New Roman"/>
          <w:sz w:val="18"/>
          <w:szCs w:val="18"/>
          <w:lang w:val="en-US"/>
        </w:rPr>
        <w:t>In case the current Covid-19 health emergency does not allow frontal teaching, remote teaching will be carried out following procedures that will be promptly notified to students</w:t>
      </w:r>
      <w:r>
        <w:rPr>
          <w:rFonts w:cs="Times New Roman"/>
          <w:sz w:val="18"/>
          <w:szCs w:val="18"/>
          <w:lang w:val="en-US"/>
        </w:rPr>
        <w:t>.</w:t>
      </w:r>
    </w:p>
    <w:p w14:paraId="50DA4E92" w14:textId="77777777" w:rsidR="006D33D9" w:rsidRDefault="006B4E97" w:rsidP="00EC6B0A">
      <w:pPr>
        <w:pStyle w:val="Testo2"/>
        <w:spacing w:before="120"/>
      </w:pPr>
      <w:r>
        <w:t xml:space="preserve">Further information can be found on the lecturer's webpage at </w:t>
      </w:r>
      <w:r w:rsidRPr="00C3544B">
        <w:rPr>
          <w:rStyle w:val="Hyperlink0"/>
          <w:color w:val="auto"/>
          <w:u w:val="none"/>
        </w:rPr>
        <w:t>http://docenti.unicatt.it/web/searchByName.do?language=ENG</w:t>
      </w:r>
      <w:r>
        <w:rPr>
          <w:rStyle w:val="Nessuno"/>
        </w:rPr>
        <w:t xml:space="preserve"> </w:t>
      </w:r>
      <w:r>
        <w:rPr>
          <w:rStyle w:val="Nessuno"/>
          <w:shd w:val="clear" w:color="auto" w:fill="FFFFFF"/>
        </w:rPr>
        <w:t xml:space="preserve">or on the </w:t>
      </w:r>
      <w:proofErr w:type="gramStart"/>
      <w:r>
        <w:rPr>
          <w:rStyle w:val="Nessuno"/>
          <w:shd w:val="clear" w:color="auto" w:fill="FFFFFF"/>
        </w:rPr>
        <w:t>Faculty</w:t>
      </w:r>
      <w:proofErr w:type="gramEnd"/>
      <w:r>
        <w:rPr>
          <w:rStyle w:val="Nessuno"/>
          <w:shd w:val="clear" w:color="auto" w:fill="FFFFFF"/>
        </w:rPr>
        <w:t xml:space="preserve"> notice board.</w:t>
      </w:r>
    </w:p>
    <w:sectPr w:rsidR="006D33D9">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2FBE" w14:textId="77777777" w:rsidR="002503FD" w:rsidRDefault="002503FD">
      <w:pPr>
        <w:spacing w:line="240" w:lineRule="auto"/>
      </w:pPr>
      <w:r>
        <w:separator/>
      </w:r>
    </w:p>
  </w:endnote>
  <w:endnote w:type="continuationSeparator" w:id="0">
    <w:p w14:paraId="79BDC210" w14:textId="77777777" w:rsidR="002503FD" w:rsidRDefault="00250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F051" w14:textId="77777777" w:rsidR="0028182F" w:rsidRDefault="0028182F">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0AE2" w14:textId="77777777" w:rsidR="002503FD" w:rsidRDefault="002503FD">
      <w:pPr>
        <w:spacing w:line="240" w:lineRule="auto"/>
      </w:pPr>
      <w:r>
        <w:separator/>
      </w:r>
    </w:p>
  </w:footnote>
  <w:footnote w:type="continuationSeparator" w:id="0">
    <w:p w14:paraId="1022D349" w14:textId="77777777" w:rsidR="002503FD" w:rsidRDefault="002503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AD16" w14:textId="77777777" w:rsidR="0028182F" w:rsidRDefault="0028182F">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B33CF"/>
    <w:multiLevelType w:val="hybridMultilevel"/>
    <w:tmpl w:val="095440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1705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oNotTrackMoves/>
  <w:defaultTabStop w:val="284"/>
  <w:autoHyphenation/>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33D9"/>
    <w:rsid w:val="0013420C"/>
    <w:rsid w:val="001D1724"/>
    <w:rsid w:val="001D2016"/>
    <w:rsid w:val="00211629"/>
    <w:rsid w:val="00220A36"/>
    <w:rsid w:val="002503FD"/>
    <w:rsid w:val="0028182F"/>
    <w:rsid w:val="00292C93"/>
    <w:rsid w:val="00353054"/>
    <w:rsid w:val="003D4C55"/>
    <w:rsid w:val="004325EC"/>
    <w:rsid w:val="005168C5"/>
    <w:rsid w:val="005653C4"/>
    <w:rsid w:val="006B4E97"/>
    <w:rsid w:val="006D33D9"/>
    <w:rsid w:val="00737A20"/>
    <w:rsid w:val="00794D7E"/>
    <w:rsid w:val="00810CD0"/>
    <w:rsid w:val="00814F49"/>
    <w:rsid w:val="008A308A"/>
    <w:rsid w:val="00A05214"/>
    <w:rsid w:val="00A24D93"/>
    <w:rsid w:val="00A429FF"/>
    <w:rsid w:val="00AD1BAA"/>
    <w:rsid w:val="00B23231"/>
    <w:rsid w:val="00B641C6"/>
    <w:rsid w:val="00C00A8F"/>
    <w:rsid w:val="00C3544B"/>
    <w:rsid w:val="00C4387C"/>
    <w:rsid w:val="00D06BDE"/>
    <w:rsid w:val="00D421A6"/>
    <w:rsid w:val="00E74C91"/>
    <w:rsid w:val="00EC6B0A"/>
    <w:rsid w:val="00FD28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25D2F2"/>
  <w15:chartTrackingRefBased/>
  <w15:docId w15:val="{D832E4D4-8EAA-49AA-84A8-2E2533D4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pBdr>
        <w:top w:val="nil"/>
        <w:left w:val="nil"/>
        <w:bottom w:val="nil"/>
        <w:right w:val="nil"/>
        <w:between w:val="nil"/>
        <w:bar w:val="nil"/>
      </w:pBdr>
      <w:spacing w:line="240" w:lineRule="exact"/>
      <w:jc w:val="both"/>
    </w:pPr>
    <w:rPr>
      <w:rFonts w:cs="Arial Unicode MS"/>
      <w:color w:val="000000"/>
      <w:u w:color="000000"/>
      <w:bdr w:val="nil"/>
    </w:rPr>
  </w:style>
  <w:style w:type="paragraph" w:styleId="Titolo1">
    <w:name w:val="heading 1"/>
    <w:next w:val="Titolo2"/>
    <w:qFormat/>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rPr>
  </w:style>
  <w:style w:type="paragraph" w:styleId="Titolo2">
    <w:name w:val="heading 2"/>
    <w:next w:val="Titolo3"/>
    <w:qFormat/>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rPr>
  </w:style>
  <w:style w:type="paragraph" w:styleId="Titolo3">
    <w:name w:val="heading 3"/>
    <w:next w:val="Normale"/>
    <w:qFormat/>
    <w:pPr>
      <w:pBdr>
        <w:top w:val="nil"/>
        <w:left w:val="nil"/>
        <w:bottom w:val="nil"/>
        <w:right w:val="nil"/>
        <w:between w:val="nil"/>
        <w:bar w:val="nil"/>
      </w:pBdr>
      <w:spacing w:before="240" w:after="120" w:line="240" w:lineRule="exact"/>
      <w:jc w:val="both"/>
      <w:outlineLvl w:val="2"/>
    </w:pPr>
    <w:rPr>
      <w:rFonts w:ascii="Times" w:hAnsi="Times" w:cs="Arial Unicode MS"/>
      <w:i/>
      <w:iCs/>
      <w:caps/>
      <w:color w:val="000000"/>
      <w:sz w:val="18"/>
      <w:szCs w:val="18"/>
      <w:u w:color="000000"/>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Testo1">
    <w:name w:val="Testo 1"/>
    <w:pPr>
      <w:pBdr>
        <w:top w:val="nil"/>
        <w:left w:val="nil"/>
        <w:bottom w:val="nil"/>
        <w:right w:val="nil"/>
        <w:between w:val="nil"/>
        <w:bar w:val="nil"/>
      </w:pBdr>
      <w:spacing w:line="220" w:lineRule="exact"/>
      <w:ind w:left="284" w:hanging="284"/>
      <w:jc w:val="both"/>
    </w:pPr>
    <w:rPr>
      <w:rFonts w:ascii="Times" w:hAnsi="Times" w:cs="Arial Unicode MS"/>
      <w:color w:val="000000"/>
      <w:sz w:val="18"/>
      <w:szCs w:val="18"/>
      <w:u w:color="000000"/>
      <w:bdr w:val="nil"/>
      <w:lang w:val="en-US"/>
    </w:rPr>
  </w:style>
  <w:style w:type="paragraph" w:customStyle="1" w:styleId="Testo2">
    <w:name w:val="Testo 2"/>
    <w:pPr>
      <w:pBdr>
        <w:top w:val="nil"/>
        <w:left w:val="nil"/>
        <w:bottom w:val="nil"/>
        <w:right w:val="nil"/>
        <w:between w:val="nil"/>
        <w:bar w:val="nil"/>
      </w:pBdr>
      <w:spacing w:line="220" w:lineRule="exact"/>
      <w:ind w:firstLine="284"/>
      <w:jc w:val="both"/>
    </w:pPr>
    <w:rPr>
      <w:rFonts w:ascii="Times" w:hAnsi="Times" w:cs="Arial Unicode MS"/>
      <w:color w:val="000000"/>
      <w:sz w:val="18"/>
      <w:szCs w:val="18"/>
      <w:u w:color="000000"/>
      <w:bdr w:val="nil"/>
      <w:lang w:val="en-US"/>
    </w:rPr>
  </w:style>
  <w:style w:type="character" w:customStyle="1" w:styleId="Nessuno">
    <w:name w:val="Nessuno"/>
  </w:style>
  <w:style w:type="character" w:customStyle="1" w:styleId="Hyperlink0">
    <w:name w:val="Hyperlink.0"/>
    <w:rPr>
      <w:color w:val="0000FF"/>
      <w:u w:val="single" w:color="0000FF"/>
      <w:lang w:val="en-US"/>
    </w:rPr>
  </w:style>
  <w:style w:type="paragraph" w:styleId="Paragrafoelenco">
    <w:name w:val="List Paragraph"/>
    <w:basedOn w:val="Normale"/>
    <w:uiPriority w:val="34"/>
    <w:qFormat/>
    <w:rsid w:val="00D06BD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pPr>
    <w:rPr>
      <w:rFonts w:eastAsia="Calibri" w:cs="Times New Roman"/>
      <w:color w:val="auto"/>
      <w:szCs w:val="22"/>
      <w:bdr w:val="none" w:sz="0" w:space="0" w:color="auto"/>
      <w:lang w:eastAsia="en-US"/>
    </w:rPr>
  </w:style>
  <w:style w:type="paragraph" w:styleId="Testofumetto">
    <w:name w:val="Balloon Text"/>
    <w:basedOn w:val="Normale"/>
    <w:link w:val="TestofumettoCarattere"/>
    <w:uiPriority w:val="99"/>
    <w:semiHidden/>
    <w:unhideWhenUsed/>
    <w:rsid w:val="00EC6B0A"/>
    <w:pPr>
      <w:spacing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EC6B0A"/>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Business Criminal Law (Degree in Business Management and Consulting)</vt:lpstr>
    </vt:vector>
  </TitlesOfParts>
  <Company>Università Cattolica del Sacro Cuore</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Criminal Law (Degree in Business Management and Consulting)</dc:title>
  <dc:subject/>
  <dc:creator>Bisello Stefano</dc:creator>
  <cp:keywords/>
  <cp:lastModifiedBy>Bisello Stefano</cp:lastModifiedBy>
  <cp:revision>2</cp:revision>
  <dcterms:created xsi:type="dcterms:W3CDTF">2022-10-28T09:24:00Z</dcterms:created>
  <dcterms:modified xsi:type="dcterms:W3CDTF">2022-10-28T09:24:00Z</dcterms:modified>
</cp:coreProperties>
</file>