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369E" w14:textId="4829F344" w:rsidR="00B61583" w:rsidRPr="00293B79" w:rsidRDefault="00CF235A">
      <w:pPr>
        <w:pStyle w:val="Intestazione"/>
        <w:rPr>
          <w:shd w:val="clear" w:color="auto" w:fill="FEFFFF"/>
          <w:lang w:val="en-GB"/>
        </w:rPr>
      </w:pPr>
      <w:r w:rsidRPr="00293B79">
        <w:rPr>
          <w:shd w:val="clear" w:color="auto" w:fill="FEFFFF"/>
          <w:lang w:val="en-GB"/>
        </w:rPr>
        <w:t>Economic Policy</w:t>
      </w:r>
      <w:r w:rsidR="00FB7244" w:rsidRPr="00293B79">
        <w:rPr>
          <w:shd w:val="clear" w:color="auto" w:fill="FEFFFF"/>
          <w:lang w:val="en-GB"/>
        </w:rPr>
        <w:t xml:space="preserve"> (Growth policies)</w:t>
      </w:r>
    </w:p>
    <w:p w14:paraId="000134D4" w14:textId="22B69010" w:rsidR="00B61583" w:rsidRPr="00293B79" w:rsidRDefault="00CF235A">
      <w:pPr>
        <w:pStyle w:val="Intestazione2"/>
        <w:rPr>
          <w:shd w:val="clear" w:color="auto" w:fill="FEFFFF"/>
          <w:lang w:val="en-GB"/>
        </w:rPr>
      </w:pPr>
      <w:r w:rsidRPr="00293B79">
        <w:rPr>
          <w:shd w:val="clear" w:color="auto" w:fill="FEFFFF"/>
          <w:lang w:val="en-GB"/>
        </w:rPr>
        <w:t>Prof. Marco Vivarelli</w:t>
      </w:r>
      <w:r w:rsidR="00FB7244" w:rsidRPr="00293B79">
        <w:rPr>
          <w:shd w:val="clear" w:color="auto" w:fill="FEFFFF"/>
          <w:lang w:val="en-GB"/>
        </w:rPr>
        <w:t>; Prof. Luigi Campiglio</w:t>
      </w:r>
    </w:p>
    <w:p w14:paraId="49544BEF" w14:textId="4E09B627" w:rsidR="00954B95" w:rsidRPr="00293B79" w:rsidRDefault="00954B95" w:rsidP="00954B95">
      <w:pPr>
        <w:spacing w:before="240" w:after="120"/>
        <w:rPr>
          <w:b/>
          <w:i/>
          <w:sz w:val="18"/>
          <w:lang w:val="en-GB"/>
        </w:rPr>
      </w:pPr>
      <w:r w:rsidRPr="00293B79">
        <w:rPr>
          <w:b/>
          <w:i/>
          <w:sz w:val="18"/>
          <w:lang w:val="en-GB"/>
        </w:rPr>
        <w:t xml:space="preserve">COURSE AIMS AND INTENDED LEARNING OUTCOMES </w:t>
      </w:r>
    </w:p>
    <w:p w14:paraId="41F1DC07"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Knowledge and understanding</w:t>
      </w:r>
      <w:r w:rsidR="00911E63" w:rsidRPr="00293B79">
        <w:rPr>
          <w:rFonts w:eastAsiaTheme="minorHAnsi"/>
          <w:sz w:val="20"/>
          <w:lang w:val="en-GB"/>
        </w:rPr>
        <w:t xml:space="preserve">. </w:t>
      </w:r>
    </w:p>
    <w:p w14:paraId="39BC7917" w14:textId="77777777" w:rsidR="00D646E0" w:rsidRPr="00293B79" w:rsidRDefault="00D646E0" w:rsidP="001B63D3">
      <w:pPr>
        <w:pStyle w:val="P68B1DB1-Normale17"/>
        <w:spacing w:line="240" w:lineRule="exact"/>
        <w:jc w:val="both"/>
        <w:rPr>
          <w:rFonts w:ascii="Times New Roman" w:hAnsi="Times New Roman" w:cs="Times New Roman"/>
          <w:highlight w:val="none"/>
          <w:lang w:val="en-GB"/>
        </w:rPr>
      </w:pPr>
      <w:r w:rsidRPr="00293B79">
        <w:rPr>
          <w:rFonts w:ascii="Times New Roman" w:hAnsi="Times New Roman" w:cs="Times New Roman"/>
          <w:highlight w:val="none"/>
          <w:lang w:val="en-GB"/>
        </w:rPr>
        <w:t>The course aims to further develop students' economic preparation, with particular reference to the distributive and economic policy implications inherent in the configurations and behaviours of markets subject to imperfections. The course aims to provide students with specific knowledge and skills on the topics of welfare economy, growth economy, equity and income distribution, and on the possibilities of economic policy intervention, articulated in its various components.</w:t>
      </w:r>
    </w:p>
    <w:p w14:paraId="06331CCB"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Ability to apply knowledge and understanding</w:t>
      </w:r>
      <w:r w:rsidR="00911E63" w:rsidRPr="00293B79">
        <w:rPr>
          <w:rFonts w:eastAsiaTheme="minorHAnsi"/>
          <w:sz w:val="20"/>
          <w:lang w:val="en-GB"/>
        </w:rPr>
        <w:t xml:space="preserve">. </w:t>
      </w:r>
    </w:p>
    <w:p w14:paraId="71E450EA" w14:textId="77777777" w:rsidR="00EC6FD6" w:rsidRPr="00293B79" w:rsidRDefault="00EC6FD6" w:rsidP="00EC6FD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Arial Unicode MS"/>
          <w:color w:val="000000"/>
          <w:sz w:val="20"/>
          <w:szCs w:val="20"/>
          <w:u w:color="000000"/>
          <w:bdr w:val="none" w:sz="0" w:space="0" w:color="auto"/>
          <w:lang w:val="en-GB" w:eastAsia="it-IT"/>
        </w:rPr>
      </w:pPr>
      <w:r w:rsidRPr="00293B79">
        <w:rPr>
          <w:rFonts w:ascii="Times" w:eastAsia="Times New Roman" w:hAnsi="Times" w:cs="Arial Unicode MS"/>
          <w:color w:val="000000"/>
          <w:sz w:val="20"/>
          <w:szCs w:val="20"/>
          <w:u w:color="000000"/>
          <w:bdr w:val="none" w:sz="0" w:space="0" w:color="auto"/>
          <w:lang w:val="en-GB" w:eastAsia="it-IT"/>
        </w:rPr>
        <w:t xml:space="preserve">With reference </w:t>
      </w:r>
      <w:r w:rsidR="00E57D53" w:rsidRPr="00293B79">
        <w:rPr>
          <w:rFonts w:ascii="Times" w:eastAsia="Times New Roman" w:hAnsi="Times" w:cs="Arial Unicode MS"/>
          <w:color w:val="000000"/>
          <w:sz w:val="20"/>
          <w:szCs w:val="20"/>
          <w:u w:color="000000"/>
          <w:bdr w:val="none" w:sz="0" w:space="0" w:color="auto"/>
          <w:lang w:val="en-GB" w:eastAsia="it-IT"/>
        </w:rPr>
        <w:t>to the ability to apply</w:t>
      </w:r>
      <w:r w:rsidRPr="00293B79">
        <w:rPr>
          <w:rFonts w:ascii="Times" w:eastAsia="Times New Roman" w:hAnsi="Times" w:cs="Arial Unicode MS"/>
          <w:color w:val="000000"/>
          <w:sz w:val="20"/>
          <w:szCs w:val="20"/>
          <w:u w:color="000000"/>
          <w:bdr w:val="none" w:sz="0" w:space="0" w:color="auto"/>
          <w:lang w:val="en-GB" w:eastAsia="it-IT"/>
        </w:rPr>
        <w:t xml:space="preserve"> knowledge and contents learned, at the end of the course, students will be able to analyse economic policy choices, and to place and interpret them in the most general economic and institutional context.</w:t>
      </w:r>
    </w:p>
    <w:p w14:paraId="5F01118C"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Independent judgment</w:t>
      </w:r>
      <w:r w:rsidR="00911E63" w:rsidRPr="00293B79">
        <w:rPr>
          <w:rFonts w:eastAsiaTheme="minorHAnsi"/>
          <w:sz w:val="20"/>
          <w:lang w:val="en-GB"/>
        </w:rPr>
        <w:t>.</w:t>
      </w:r>
    </w:p>
    <w:p w14:paraId="470B2178" w14:textId="77777777" w:rsidR="00E57D53" w:rsidRPr="00293B79" w:rsidRDefault="00E57D53" w:rsidP="006A5E81">
      <w:pPr>
        <w:spacing w:line="240" w:lineRule="exact"/>
        <w:jc w:val="both"/>
        <w:rPr>
          <w:rFonts w:eastAsiaTheme="minorHAnsi"/>
          <w:sz w:val="20"/>
          <w:lang w:val="en-GB"/>
        </w:rPr>
      </w:pPr>
      <w:r w:rsidRPr="00293B79">
        <w:rPr>
          <w:rFonts w:eastAsiaTheme="minorHAnsi"/>
          <w:sz w:val="20"/>
          <w:lang w:val="en-GB"/>
        </w:rPr>
        <w:t xml:space="preserve">The course aims to provide a systemic framework of reference that can help students acquire new </w:t>
      </w:r>
      <w:r w:rsidR="006A5E81" w:rsidRPr="00293B79">
        <w:rPr>
          <w:rFonts w:eastAsiaTheme="minorHAnsi"/>
          <w:sz w:val="20"/>
          <w:lang w:val="en-GB"/>
        </w:rPr>
        <w:t xml:space="preserve">awareness and </w:t>
      </w:r>
      <w:r w:rsidRPr="00293B79">
        <w:rPr>
          <w:rFonts w:eastAsiaTheme="minorHAnsi"/>
          <w:sz w:val="20"/>
          <w:lang w:val="en-GB"/>
        </w:rPr>
        <w:t>independent judgment, and therefore learn to operate in national and international companies and institutions.</w:t>
      </w:r>
    </w:p>
    <w:p w14:paraId="110FCADE"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Communication skills</w:t>
      </w:r>
      <w:r w:rsidR="00911E63" w:rsidRPr="00293B79">
        <w:rPr>
          <w:rFonts w:eastAsiaTheme="minorHAnsi"/>
          <w:sz w:val="20"/>
          <w:lang w:val="en-GB"/>
        </w:rPr>
        <w:t>.</w:t>
      </w:r>
      <w:r w:rsidR="00EC6FD6" w:rsidRPr="00293B79">
        <w:rPr>
          <w:rFonts w:eastAsiaTheme="minorHAnsi"/>
          <w:sz w:val="20"/>
          <w:lang w:val="en-GB"/>
        </w:rPr>
        <w:t xml:space="preserve"> </w:t>
      </w:r>
    </w:p>
    <w:p w14:paraId="25E66B0F" w14:textId="77777777" w:rsidR="00EC6FD6" w:rsidRPr="00293B79" w:rsidRDefault="00911E63" w:rsidP="00EC6FD6">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ascii="Times" w:eastAsia="Times New Roman" w:hAnsi="Times" w:cs="Arial Unicode MS"/>
          <w:color w:val="000000"/>
          <w:sz w:val="20"/>
          <w:szCs w:val="20"/>
          <w:u w:color="000000"/>
          <w:bdr w:val="none" w:sz="0" w:space="0" w:color="auto"/>
          <w:lang w:val="en-GB" w:eastAsia="it-IT"/>
        </w:rPr>
      </w:pPr>
      <w:r w:rsidRPr="00293B79">
        <w:rPr>
          <w:rFonts w:ascii="Times" w:eastAsia="Times New Roman" w:hAnsi="Times" w:cs="Arial Unicode MS"/>
          <w:color w:val="000000"/>
          <w:sz w:val="20"/>
          <w:szCs w:val="20"/>
          <w:u w:color="000000"/>
          <w:bdr w:val="none" w:sz="0" w:space="0" w:color="auto"/>
          <w:lang w:val="en-GB" w:eastAsia="it-IT"/>
        </w:rPr>
        <w:t>A</w:t>
      </w:r>
      <w:r w:rsidR="00EC6FD6" w:rsidRPr="00293B79">
        <w:rPr>
          <w:rFonts w:ascii="Times" w:eastAsia="Times New Roman" w:hAnsi="Times" w:cs="Arial Unicode MS"/>
          <w:color w:val="000000"/>
          <w:sz w:val="20"/>
          <w:szCs w:val="20"/>
          <w:u w:color="000000"/>
          <w:bdr w:val="none" w:sz="0" w:space="0" w:color="auto"/>
          <w:lang w:val="en-GB" w:eastAsia="it-IT"/>
        </w:rPr>
        <w:t>t the end of the course, students will be able to apply and communicate the knowledge described above through outlining reference schemes for effective policies in solving market failures.</w:t>
      </w:r>
    </w:p>
    <w:p w14:paraId="13A5F212" w14:textId="77777777" w:rsidR="00911E63" w:rsidRPr="00293B79" w:rsidRDefault="00E57D53" w:rsidP="00911E63">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ind w:left="0" w:firstLine="0"/>
        <w:jc w:val="both"/>
        <w:rPr>
          <w:rFonts w:eastAsiaTheme="minorHAnsi"/>
          <w:sz w:val="20"/>
          <w:lang w:val="en-GB"/>
        </w:rPr>
      </w:pPr>
      <w:r w:rsidRPr="00293B79">
        <w:rPr>
          <w:rFonts w:eastAsiaTheme="minorHAnsi"/>
          <w:sz w:val="20"/>
          <w:lang w:val="en-GB"/>
        </w:rPr>
        <w:t>Learning skills</w:t>
      </w:r>
      <w:r w:rsidR="00911E63" w:rsidRPr="00293B79">
        <w:rPr>
          <w:rFonts w:eastAsiaTheme="minorHAnsi"/>
          <w:sz w:val="20"/>
          <w:lang w:val="en-GB"/>
        </w:rPr>
        <w:t xml:space="preserve">. </w:t>
      </w:r>
    </w:p>
    <w:p w14:paraId="60446B49" w14:textId="77777777" w:rsidR="00911E63" w:rsidRPr="00293B79" w:rsidRDefault="00E57D53" w:rsidP="006A5E81">
      <w:pPr>
        <w:spacing w:line="240" w:lineRule="exact"/>
        <w:jc w:val="both"/>
        <w:rPr>
          <w:rFonts w:eastAsiaTheme="minorHAnsi"/>
          <w:sz w:val="20"/>
          <w:lang w:val="en-GB"/>
        </w:rPr>
      </w:pPr>
      <w:r w:rsidRPr="00293B79">
        <w:rPr>
          <w:rFonts w:eastAsiaTheme="minorHAnsi"/>
          <w:sz w:val="20"/>
          <w:lang w:val="en-GB"/>
        </w:rPr>
        <w:t xml:space="preserve">At the end of the course, students will </w:t>
      </w:r>
      <w:r w:rsidR="006A5E81" w:rsidRPr="00293B79">
        <w:rPr>
          <w:rFonts w:eastAsiaTheme="minorHAnsi"/>
          <w:sz w:val="20"/>
          <w:lang w:val="en-GB"/>
        </w:rPr>
        <w:t>have</w:t>
      </w:r>
      <w:r w:rsidRPr="00293B79">
        <w:rPr>
          <w:rFonts w:eastAsiaTheme="minorHAnsi"/>
          <w:sz w:val="20"/>
          <w:lang w:val="en-GB"/>
        </w:rPr>
        <w:t xml:space="preserve"> develop</w:t>
      </w:r>
      <w:r w:rsidR="006A5E81" w:rsidRPr="00293B79">
        <w:rPr>
          <w:rFonts w:eastAsiaTheme="minorHAnsi"/>
          <w:sz w:val="20"/>
          <w:lang w:val="en-GB"/>
        </w:rPr>
        <w:t>ed</w:t>
      </w:r>
      <w:r w:rsidRPr="00293B79">
        <w:rPr>
          <w:rFonts w:eastAsiaTheme="minorHAnsi"/>
          <w:sz w:val="20"/>
          <w:lang w:val="en-GB"/>
        </w:rPr>
        <w:t xml:space="preserve"> not only their cognitive skills (that refer to the specific content </w:t>
      </w:r>
      <w:r w:rsidR="006A5E81" w:rsidRPr="00293B79">
        <w:rPr>
          <w:rFonts w:eastAsiaTheme="minorHAnsi"/>
          <w:sz w:val="20"/>
          <w:lang w:val="en-GB"/>
        </w:rPr>
        <w:t xml:space="preserve">and competences </w:t>
      </w:r>
      <w:r w:rsidRPr="00293B79">
        <w:rPr>
          <w:rFonts w:eastAsiaTheme="minorHAnsi"/>
          <w:sz w:val="20"/>
          <w:lang w:val="en-GB"/>
        </w:rPr>
        <w:t>of this course), but also the meta</w:t>
      </w:r>
      <w:r w:rsidR="006A5E81" w:rsidRPr="00293B79">
        <w:rPr>
          <w:rFonts w:eastAsiaTheme="minorHAnsi"/>
          <w:sz w:val="20"/>
          <w:lang w:val="en-GB"/>
        </w:rPr>
        <w:t>-</w:t>
      </w:r>
      <w:r w:rsidRPr="00293B79">
        <w:rPr>
          <w:rFonts w:eastAsiaTheme="minorHAnsi"/>
          <w:sz w:val="20"/>
          <w:lang w:val="en-GB"/>
        </w:rPr>
        <w:t>cognitive ones (that refer to other transversal abilities, such as independent judgment, critical skills, and communication skills)</w:t>
      </w:r>
      <w:r w:rsidR="00911E63" w:rsidRPr="00293B79">
        <w:rPr>
          <w:rFonts w:eastAsiaTheme="minorHAnsi"/>
          <w:sz w:val="20"/>
          <w:lang w:val="en-GB"/>
        </w:rPr>
        <w:t>.</w:t>
      </w:r>
    </w:p>
    <w:p w14:paraId="3BD4CC0D" w14:textId="77777777" w:rsidR="00B61583" w:rsidRPr="00293B79" w:rsidRDefault="00CF235A">
      <w:pPr>
        <w:pStyle w:val="CorpoA"/>
        <w:spacing w:before="240" w:after="120"/>
        <w:rPr>
          <w:b/>
          <w:bCs/>
          <w:sz w:val="18"/>
          <w:szCs w:val="18"/>
          <w:shd w:val="clear" w:color="auto" w:fill="FEFFFF"/>
          <w:lang w:val="en-GB"/>
        </w:rPr>
      </w:pPr>
      <w:r w:rsidRPr="00293B79">
        <w:rPr>
          <w:b/>
          <w:bCs/>
          <w:i/>
          <w:iCs/>
          <w:sz w:val="18"/>
          <w:szCs w:val="18"/>
          <w:shd w:val="clear" w:color="auto" w:fill="FEFFFF"/>
          <w:lang w:val="en-GB"/>
        </w:rPr>
        <w:t>COURSE CONTENT</w:t>
      </w:r>
    </w:p>
    <w:p w14:paraId="30199EEE"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Introduction, analytical instruments, macroeconomic evidence</w:t>
      </w:r>
    </w:p>
    <w:p w14:paraId="61F2E32E" w14:textId="77777777" w:rsidR="001B63D3" w:rsidRPr="00293B79" w:rsidRDefault="001B63D3" w:rsidP="001B63D3">
      <w:pPr>
        <w:pStyle w:val="P68B1DB1-Paragrafoelenco3"/>
        <w:numPr>
          <w:ilvl w:val="0"/>
          <w:numId w:val="6"/>
        </w:numPr>
        <w:tabs>
          <w:tab w:val="left" w:pos="284"/>
        </w:tabs>
        <w:spacing w:line="220" w:lineRule="exact"/>
        <w:jc w:val="both"/>
        <w:rPr>
          <w:highlight w:val="none"/>
          <w:lang w:val="en-GB"/>
        </w:rPr>
      </w:pPr>
      <w:r w:rsidRPr="00293B79">
        <w:rPr>
          <w:highlight w:val="none"/>
          <w:lang w:val="en-GB"/>
        </w:rPr>
        <w:t>The trade-off between efficiency and equity; economy of well-being and growth</w:t>
      </w:r>
    </w:p>
    <w:p w14:paraId="3E0249EE"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Market failures and economic policy interventions</w:t>
      </w:r>
    </w:p>
    <w:p w14:paraId="78DB10B7"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Growth and productivity: determinants and intervention policies</w:t>
      </w:r>
    </w:p>
    <w:p w14:paraId="071D33D8"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Growth, technology and employment: determinants and intervention policies</w:t>
      </w:r>
    </w:p>
    <w:p w14:paraId="065AA696" w14:textId="77777777" w:rsidR="001B63D3" w:rsidRPr="00293B79" w:rsidRDefault="001B63D3" w:rsidP="001B63D3">
      <w:pPr>
        <w:pStyle w:val="P68B1DB1-Paragrafoelenco3"/>
        <w:numPr>
          <w:ilvl w:val="0"/>
          <w:numId w:val="6"/>
        </w:numPr>
        <w:tabs>
          <w:tab w:val="left" w:pos="284"/>
        </w:tabs>
        <w:spacing w:line="240" w:lineRule="exact"/>
        <w:ind w:right="-198"/>
        <w:jc w:val="both"/>
        <w:rPr>
          <w:highlight w:val="none"/>
          <w:lang w:val="en-GB"/>
        </w:rPr>
      </w:pPr>
      <w:r w:rsidRPr="00293B79">
        <w:rPr>
          <w:highlight w:val="none"/>
          <w:lang w:val="en-GB"/>
        </w:rPr>
        <w:t>Growth, technology and professions: determinants and intervention policies</w:t>
      </w:r>
    </w:p>
    <w:p w14:paraId="5EB5760C"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lastRenderedPageBreak/>
        <w:t>Growth and equity: determinants and intervention policies</w:t>
      </w:r>
    </w:p>
    <w:p w14:paraId="727E94FB"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Growth, demography and inequality</w:t>
      </w:r>
    </w:p>
    <w:p w14:paraId="7D264D3A" w14:textId="77777777" w:rsidR="001B63D3" w:rsidRPr="00293B79" w:rsidRDefault="001B63D3" w:rsidP="001B63D3">
      <w:pPr>
        <w:pStyle w:val="P68B1DB1-Paragrafoelenco3"/>
        <w:numPr>
          <w:ilvl w:val="0"/>
          <w:numId w:val="6"/>
        </w:numPr>
        <w:tabs>
          <w:tab w:val="left" w:pos="284"/>
        </w:tabs>
        <w:spacing w:line="220" w:lineRule="exact"/>
        <w:jc w:val="both"/>
        <w:rPr>
          <w:highlight w:val="none"/>
          <w:lang w:val="en-GB"/>
        </w:rPr>
      </w:pPr>
      <w:r w:rsidRPr="00293B79">
        <w:rPr>
          <w:highlight w:val="none"/>
          <w:lang w:val="en-GB"/>
        </w:rPr>
        <w:t>Old and new inequalities</w:t>
      </w:r>
    </w:p>
    <w:p w14:paraId="416DA793"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Growth and redistributive policies</w:t>
      </w:r>
    </w:p>
    <w:p w14:paraId="26C295D6"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Institutional context and policies to promote equity</w:t>
      </w:r>
    </w:p>
    <w:p w14:paraId="11FAE7A5" w14:textId="77777777" w:rsidR="001B63D3" w:rsidRPr="00293B79" w:rsidRDefault="001B63D3" w:rsidP="001B63D3">
      <w:pPr>
        <w:pStyle w:val="P68B1DB1-Paragrafoelenco3"/>
        <w:numPr>
          <w:ilvl w:val="0"/>
          <w:numId w:val="6"/>
        </w:numPr>
        <w:tabs>
          <w:tab w:val="left" w:pos="284"/>
        </w:tabs>
        <w:spacing w:line="240" w:lineRule="exact"/>
        <w:jc w:val="both"/>
        <w:rPr>
          <w:highlight w:val="none"/>
          <w:lang w:val="en-GB"/>
        </w:rPr>
      </w:pPr>
      <w:r w:rsidRPr="00293B79">
        <w:rPr>
          <w:highlight w:val="none"/>
          <w:lang w:val="en-GB"/>
        </w:rPr>
        <w:t>Government failures and policy evaluation</w:t>
      </w:r>
    </w:p>
    <w:p w14:paraId="6C1C88CF" w14:textId="77777777" w:rsidR="00B61583" w:rsidRPr="00293B79" w:rsidRDefault="00CF235A">
      <w:pPr>
        <w:pStyle w:val="CorpoA"/>
        <w:spacing w:before="240" w:after="120" w:line="220" w:lineRule="exact"/>
        <w:rPr>
          <w:b/>
          <w:bCs/>
          <w:i/>
          <w:iCs/>
          <w:sz w:val="18"/>
          <w:szCs w:val="18"/>
          <w:shd w:val="clear" w:color="auto" w:fill="FEFFFF"/>
          <w:lang w:val="en-GB"/>
        </w:rPr>
      </w:pPr>
      <w:r w:rsidRPr="00293B79">
        <w:rPr>
          <w:b/>
          <w:bCs/>
          <w:i/>
          <w:iCs/>
          <w:sz w:val="18"/>
          <w:szCs w:val="18"/>
          <w:shd w:val="clear" w:color="auto" w:fill="FEFFFF"/>
          <w:lang w:val="en-GB"/>
        </w:rPr>
        <w:t>READING LIST</w:t>
      </w:r>
    </w:p>
    <w:p w14:paraId="629AAFD1" w14:textId="69230B01" w:rsidR="00B61583" w:rsidRPr="00293B79" w:rsidRDefault="00FB7244">
      <w:pPr>
        <w:pStyle w:val="Testo1"/>
        <w:spacing w:line="240" w:lineRule="atLeast"/>
        <w:rPr>
          <w:shd w:val="clear" w:color="auto" w:fill="FEFFFF"/>
          <w:lang w:val="en-GB"/>
        </w:rPr>
      </w:pPr>
      <w:r w:rsidRPr="00293B79">
        <w:rPr>
          <w:shd w:val="clear" w:color="auto" w:fill="FEFFFF"/>
          <w:lang w:val="en-GB"/>
        </w:rPr>
        <w:t>I</w:t>
      </w:r>
      <w:r w:rsidR="00CF235A" w:rsidRPr="00293B79">
        <w:rPr>
          <w:shd w:val="clear" w:color="auto" w:fill="FEFFFF"/>
          <w:lang w:val="en-GB"/>
        </w:rPr>
        <w:t xml:space="preserve">nstructional material (course packs, slides, chapters, articles, and statistics) will be made available on-line on </w:t>
      </w:r>
      <w:r w:rsidR="00954B95" w:rsidRPr="00293B79">
        <w:rPr>
          <w:i/>
          <w:shd w:val="clear" w:color="auto" w:fill="FEFFFF"/>
          <w:lang w:val="en-GB"/>
        </w:rPr>
        <w:t>Blackboard</w:t>
      </w:r>
      <w:r w:rsidR="00954B95" w:rsidRPr="00293B79">
        <w:rPr>
          <w:shd w:val="clear" w:color="auto" w:fill="FEFFFF"/>
          <w:lang w:val="en-GB"/>
        </w:rPr>
        <w:t xml:space="preserve"> platform</w:t>
      </w:r>
      <w:r w:rsidR="00CF235A" w:rsidRPr="00293B79">
        <w:rPr>
          <w:shd w:val="clear" w:color="auto" w:fill="FEFFFF"/>
          <w:lang w:val="en-GB"/>
        </w:rPr>
        <w:t>.</w:t>
      </w:r>
    </w:p>
    <w:p w14:paraId="6357C8F4" w14:textId="77777777" w:rsidR="00B61583" w:rsidRPr="00293B79" w:rsidRDefault="00CF235A">
      <w:pPr>
        <w:pStyle w:val="CorpoA"/>
        <w:spacing w:before="240" w:after="120" w:line="220" w:lineRule="exact"/>
        <w:rPr>
          <w:b/>
          <w:bCs/>
          <w:i/>
          <w:iCs/>
          <w:sz w:val="18"/>
          <w:szCs w:val="18"/>
          <w:shd w:val="clear" w:color="auto" w:fill="FEFFFF"/>
          <w:lang w:val="en-GB"/>
        </w:rPr>
      </w:pPr>
      <w:r w:rsidRPr="00293B79">
        <w:rPr>
          <w:b/>
          <w:bCs/>
          <w:i/>
          <w:iCs/>
          <w:sz w:val="18"/>
          <w:szCs w:val="18"/>
          <w:shd w:val="clear" w:color="auto" w:fill="FEFFFF"/>
          <w:lang w:val="en-GB"/>
        </w:rPr>
        <w:t>TEACHING METHOD</w:t>
      </w:r>
    </w:p>
    <w:p w14:paraId="39C5254A" w14:textId="77777777" w:rsidR="00B61583" w:rsidRPr="00293B79" w:rsidRDefault="00CF235A">
      <w:pPr>
        <w:pStyle w:val="Testo2"/>
        <w:rPr>
          <w:shd w:val="clear" w:color="auto" w:fill="FEFFFF"/>
          <w:lang w:val="en-GB"/>
        </w:rPr>
      </w:pPr>
      <w:r w:rsidRPr="00293B79">
        <w:rPr>
          <w:shd w:val="clear" w:color="auto" w:fill="FEFFFF"/>
          <w:lang w:val="en-GB"/>
        </w:rPr>
        <w:t>Lectures.</w:t>
      </w:r>
    </w:p>
    <w:p w14:paraId="5B3449E5" w14:textId="77777777" w:rsidR="00954B95" w:rsidRPr="00293B79" w:rsidRDefault="00954B95" w:rsidP="00954B95">
      <w:pPr>
        <w:spacing w:before="240" w:after="120" w:line="220" w:lineRule="exact"/>
        <w:rPr>
          <w:b/>
          <w:i/>
          <w:sz w:val="18"/>
          <w:lang w:val="en-GB"/>
        </w:rPr>
      </w:pPr>
      <w:r w:rsidRPr="00293B79">
        <w:rPr>
          <w:b/>
          <w:i/>
          <w:sz w:val="18"/>
          <w:lang w:val="en-GB"/>
        </w:rPr>
        <w:t>ASSESSMENT METHOD AND CRITERIA</w:t>
      </w:r>
    </w:p>
    <w:p w14:paraId="0003B102" w14:textId="77777777" w:rsidR="00B61583" w:rsidRPr="00293B79" w:rsidRDefault="006A5E81">
      <w:pPr>
        <w:pStyle w:val="Testo2"/>
        <w:rPr>
          <w:shd w:val="clear" w:color="auto" w:fill="FEFFFF"/>
          <w:lang w:val="en-GB"/>
        </w:rPr>
      </w:pPr>
      <w:r w:rsidRPr="00293B79">
        <w:rPr>
          <w:shd w:val="clear" w:color="auto" w:fill="FEFFFF"/>
          <w:lang w:val="en-GB"/>
        </w:rPr>
        <w:t>Acquisition of knowledge</w:t>
      </w:r>
      <w:r w:rsidR="00CF235A" w:rsidRPr="00293B79">
        <w:rPr>
          <w:shd w:val="clear" w:color="auto" w:fill="FEFFFF"/>
          <w:lang w:val="en-GB"/>
        </w:rPr>
        <w:t xml:space="preserve"> is tested through a written exam. This test consists of open-ended questions on theoretical issues, on the models and demonstrations discussed in class and on the economic policy implications. The students’ answers will be assessed based on their analytical </w:t>
      </w:r>
      <w:r w:rsidRPr="00293B79">
        <w:rPr>
          <w:shd w:val="clear" w:color="auto" w:fill="FEFFFF"/>
          <w:lang w:val="en-GB"/>
        </w:rPr>
        <w:t>competences</w:t>
      </w:r>
      <w:r w:rsidR="00CF235A" w:rsidRPr="00293B79">
        <w:rPr>
          <w:shd w:val="clear" w:color="auto" w:fill="FEFFFF"/>
          <w:lang w:val="en-GB"/>
        </w:rPr>
        <w:t xml:space="preserve">, reasoning skills, and argumentation structure. All the questions are assessed analytically with a mark on a 30-point scale, and the final mark corresponds to the average – rounded up if necessary - of the scores obtained for each question. </w:t>
      </w:r>
    </w:p>
    <w:p w14:paraId="28AA52E6" w14:textId="77777777" w:rsidR="00911E63" w:rsidRPr="00293B79" w:rsidRDefault="00E57D53" w:rsidP="00911E63">
      <w:pPr>
        <w:pStyle w:val="Testo2"/>
        <w:rPr>
          <w:rFonts w:eastAsiaTheme="minorHAnsi"/>
          <w:lang w:val="en-GB"/>
        </w:rPr>
      </w:pPr>
      <w:r w:rsidRPr="00293B79">
        <w:rPr>
          <w:rFonts w:eastAsiaTheme="minorHAnsi"/>
          <w:lang w:val="en-GB"/>
        </w:rPr>
        <w:t>There will be no interim tests</w:t>
      </w:r>
      <w:r w:rsidR="00911E63" w:rsidRPr="00293B79">
        <w:rPr>
          <w:rFonts w:eastAsiaTheme="minorHAnsi"/>
          <w:lang w:val="en-GB"/>
        </w:rPr>
        <w:t>.</w:t>
      </w:r>
    </w:p>
    <w:p w14:paraId="293B0BBD" w14:textId="77777777" w:rsidR="00954B95" w:rsidRPr="00293B79" w:rsidRDefault="00954B95" w:rsidP="00954B95">
      <w:pPr>
        <w:spacing w:before="240" w:after="120"/>
        <w:rPr>
          <w:b/>
          <w:i/>
          <w:sz w:val="18"/>
          <w:lang w:val="en-GB"/>
        </w:rPr>
      </w:pPr>
      <w:r w:rsidRPr="00293B79">
        <w:rPr>
          <w:b/>
          <w:i/>
          <w:sz w:val="18"/>
          <w:lang w:val="en-GB"/>
        </w:rPr>
        <w:t>NOTES AND PREREQUISITES</w:t>
      </w:r>
    </w:p>
    <w:p w14:paraId="593E0C37" w14:textId="77777777" w:rsidR="00592122" w:rsidRPr="00293B79" w:rsidRDefault="00E57D53" w:rsidP="00592122">
      <w:pPr>
        <w:pStyle w:val="Testo2"/>
        <w:rPr>
          <w:rFonts w:eastAsiaTheme="minorHAnsi"/>
          <w:lang w:val="en-GB"/>
        </w:rPr>
      </w:pPr>
      <w:r w:rsidRPr="00293B79">
        <w:rPr>
          <w:rFonts w:eastAsiaTheme="minorHAnsi"/>
          <w:lang w:val="en-GB"/>
        </w:rPr>
        <w:t>In order to get the most out of this course, students should have a basic knowledge of microeconomics and macroeconomics</w:t>
      </w:r>
      <w:r w:rsidR="00592122" w:rsidRPr="00293B79">
        <w:rPr>
          <w:rFonts w:eastAsiaTheme="minorHAnsi"/>
          <w:lang w:val="en-GB"/>
        </w:rPr>
        <w:t>.</w:t>
      </w:r>
    </w:p>
    <w:p w14:paraId="3C67852A" w14:textId="77777777" w:rsidR="00592122" w:rsidRPr="00293B79" w:rsidRDefault="00592122" w:rsidP="006A5E81">
      <w:pPr>
        <w:spacing w:before="120"/>
        <w:ind w:firstLine="284"/>
        <w:jc w:val="both"/>
        <w:rPr>
          <w:sz w:val="18"/>
          <w:szCs w:val="18"/>
          <w:lang w:val="en-GB"/>
        </w:rPr>
      </w:pPr>
      <w:r w:rsidRPr="00293B79">
        <w:rPr>
          <w:sz w:val="18"/>
          <w:szCs w:val="18"/>
          <w:lang w:val="en-GB"/>
        </w:rPr>
        <w:t>In case the current Covid-19 health emergency does not allow frontal teaching, remote teaching will be carried out following procedures that will be promptly notified to students.</w:t>
      </w:r>
    </w:p>
    <w:p w14:paraId="6A6C830F" w14:textId="77777777" w:rsidR="00EC6FD6" w:rsidRPr="00DD7B8C" w:rsidRDefault="00EC6FD6" w:rsidP="00EC6FD6">
      <w:pPr>
        <w:pStyle w:val="Testo2"/>
        <w:spacing w:before="120"/>
        <w:rPr>
          <w:lang w:val="en-GB"/>
        </w:rPr>
      </w:pPr>
      <w:r w:rsidRPr="00293B79">
        <w:rPr>
          <w:lang w:val="en-GB"/>
        </w:rPr>
        <w:t>Further information can be found on the lecturer's webpage at http://docenti.unicatt.it/web/searchByName.do?language=ENG, or on the Faculty notice board.</w:t>
      </w:r>
    </w:p>
    <w:p w14:paraId="5FECB861" w14:textId="77777777" w:rsidR="00B61583" w:rsidRDefault="00B61583" w:rsidP="00410607">
      <w:pPr>
        <w:pStyle w:val="CorpoA"/>
        <w:spacing w:line="220" w:lineRule="exact"/>
        <w:ind w:firstLine="284"/>
      </w:pPr>
    </w:p>
    <w:sectPr w:rsidR="00B6158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B67D" w14:textId="77777777" w:rsidR="002F5F29" w:rsidRDefault="002F5F29">
      <w:r>
        <w:separator/>
      </w:r>
    </w:p>
  </w:endnote>
  <w:endnote w:type="continuationSeparator" w:id="0">
    <w:p w14:paraId="7318422C" w14:textId="77777777" w:rsidR="002F5F29" w:rsidRDefault="002F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C426" w14:textId="77777777" w:rsidR="00B61583" w:rsidRDefault="00B6158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5BA5" w14:textId="77777777" w:rsidR="002F5F29" w:rsidRDefault="002F5F29">
      <w:r>
        <w:separator/>
      </w:r>
    </w:p>
  </w:footnote>
  <w:footnote w:type="continuationSeparator" w:id="0">
    <w:p w14:paraId="0B239C0E" w14:textId="77777777" w:rsidR="002F5F29" w:rsidRDefault="002F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9C3A" w14:textId="77777777" w:rsidR="00B61583" w:rsidRDefault="00B61583">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691"/>
    <w:multiLevelType w:val="hybridMultilevel"/>
    <w:tmpl w:val="EE2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E112D"/>
    <w:multiLevelType w:val="hybridMultilevel"/>
    <w:tmpl w:val="30826BBA"/>
    <w:lvl w:ilvl="0" w:tplc="C33AFE9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E50DC4"/>
    <w:multiLevelType w:val="hybridMultilevel"/>
    <w:tmpl w:val="9724B7D2"/>
    <w:numStyleLink w:val="Stileimportato1"/>
  </w:abstractNum>
  <w:abstractNum w:abstractNumId="3" w15:restartNumberingAfterBreak="0">
    <w:nsid w:val="388C18BA"/>
    <w:multiLevelType w:val="hybridMultilevel"/>
    <w:tmpl w:val="9724B7D2"/>
    <w:styleLink w:val="Stileimportato1"/>
    <w:lvl w:ilvl="0" w:tplc="68FE6440">
      <w:start w:val="1"/>
      <w:numFmt w:val="decimal"/>
      <w:lvlText w:val="%1."/>
      <w:lvlJc w:val="left"/>
      <w:pPr>
        <w:ind w:left="482"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936D99E">
      <w:start w:val="1"/>
      <w:numFmt w:val="lowerLetter"/>
      <w:lvlText w:val="%2."/>
      <w:lvlJc w:val="left"/>
      <w:pPr>
        <w:ind w:left="1202"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36082B0E">
      <w:start w:val="1"/>
      <w:numFmt w:val="lowerRoman"/>
      <w:lvlText w:val="%3."/>
      <w:lvlJc w:val="left"/>
      <w:pPr>
        <w:ind w:left="1922"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0BAABEC2">
      <w:start w:val="1"/>
      <w:numFmt w:val="decimal"/>
      <w:lvlText w:val="%4."/>
      <w:lvlJc w:val="left"/>
      <w:pPr>
        <w:ind w:left="2642"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D0FA8BDC">
      <w:start w:val="1"/>
      <w:numFmt w:val="lowerLetter"/>
      <w:lvlText w:val="%5."/>
      <w:lvlJc w:val="left"/>
      <w:pPr>
        <w:ind w:left="3362"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DCE85F84">
      <w:start w:val="1"/>
      <w:numFmt w:val="lowerRoman"/>
      <w:lvlText w:val="%6."/>
      <w:lvlJc w:val="left"/>
      <w:pPr>
        <w:ind w:left="4082"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9ECA1258">
      <w:start w:val="1"/>
      <w:numFmt w:val="decimal"/>
      <w:lvlText w:val="%7."/>
      <w:lvlJc w:val="left"/>
      <w:pPr>
        <w:ind w:left="4802"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9B2C2E6">
      <w:start w:val="1"/>
      <w:numFmt w:val="lowerLetter"/>
      <w:lvlText w:val="%8."/>
      <w:lvlJc w:val="left"/>
      <w:pPr>
        <w:ind w:left="5522"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8996BF5C">
      <w:start w:val="1"/>
      <w:numFmt w:val="lowerRoman"/>
      <w:lvlText w:val="%9."/>
      <w:lvlJc w:val="left"/>
      <w:pPr>
        <w:ind w:left="6242"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2C79EC"/>
    <w:multiLevelType w:val="hybridMultilevel"/>
    <w:tmpl w:val="6DACD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F2316A"/>
    <w:multiLevelType w:val="hybridMultilevel"/>
    <w:tmpl w:val="D9ECDA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96489132">
    <w:abstractNumId w:val="3"/>
  </w:num>
  <w:num w:numId="2" w16cid:durableId="1944805842">
    <w:abstractNumId w:val="2"/>
  </w:num>
  <w:num w:numId="3" w16cid:durableId="1834639181">
    <w:abstractNumId w:val="5"/>
  </w:num>
  <w:num w:numId="4" w16cid:durableId="1519924198">
    <w:abstractNumId w:val="0"/>
  </w:num>
  <w:num w:numId="5" w16cid:durableId="2084983204">
    <w:abstractNumId w:val="4"/>
  </w:num>
  <w:num w:numId="6" w16cid:durableId="214711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583"/>
    <w:rsid w:val="00067E7A"/>
    <w:rsid w:val="001B63D3"/>
    <w:rsid w:val="00290CB6"/>
    <w:rsid w:val="00293B79"/>
    <w:rsid w:val="002F5F29"/>
    <w:rsid w:val="003301BB"/>
    <w:rsid w:val="003E79B2"/>
    <w:rsid w:val="00410607"/>
    <w:rsid w:val="00541117"/>
    <w:rsid w:val="00592122"/>
    <w:rsid w:val="00647887"/>
    <w:rsid w:val="00676D59"/>
    <w:rsid w:val="006A5E81"/>
    <w:rsid w:val="007E5042"/>
    <w:rsid w:val="008019FD"/>
    <w:rsid w:val="00860DBE"/>
    <w:rsid w:val="00911E63"/>
    <w:rsid w:val="00954B95"/>
    <w:rsid w:val="00A90390"/>
    <w:rsid w:val="00AE3B7D"/>
    <w:rsid w:val="00B61583"/>
    <w:rsid w:val="00CF235A"/>
    <w:rsid w:val="00D646E0"/>
    <w:rsid w:val="00DD7B8C"/>
    <w:rsid w:val="00E57D53"/>
    <w:rsid w:val="00EB5B69"/>
    <w:rsid w:val="00EC6FD6"/>
    <w:rsid w:val="00F842F4"/>
    <w:rsid w:val="00FB7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0232"/>
  <w15:docId w15:val="{43644596-A2D0-4A0E-AC5D-35BC4BCE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spacing w:before="480" w:line="240" w:lineRule="exact"/>
      <w:ind w:left="284" w:hanging="284"/>
      <w:jc w:val="both"/>
      <w:outlineLvl w:val="0"/>
    </w:pPr>
    <w:rPr>
      <w:rFonts w:ascii="Times" w:hAnsi="Times" w:cs="Arial Unicode MS"/>
      <w:b/>
      <w:bCs/>
      <w:color w:val="000000"/>
      <w:u w:color="000000"/>
      <w:lang w:val="en-US"/>
    </w:rPr>
  </w:style>
  <w:style w:type="paragraph" w:customStyle="1" w:styleId="Intestazione2">
    <w:name w:val="Intestazione 2"/>
    <w:next w:val="Intestazione3"/>
    <w:pPr>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spacing w:line="240" w:lineRule="exact"/>
      <w:jc w:val="both"/>
    </w:pPr>
    <w:rPr>
      <w:rFonts w:cs="Arial Unicode MS"/>
      <w:color w:val="000000"/>
      <w:u w:color="000000"/>
      <w:lang w:val="en-US"/>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954B95"/>
    <w:pPr>
      <w:ind w:left="720"/>
      <w:contextualSpacing/>
    </w:pPr>
  </w:style>
  <w:style w:type="character" w:customStyle="1" w:styleId="Testo2Carattere">
    <w:name w:val="Testo 2 Carattere"/>
    <w:link w:val="Testo2"/>
    <w:locked/>
    <w:rsid w:val="00410607"/>
    <w:rPr>
      <w:rFonts w:ascii="Times" w:hAnsi="Times" w:cs="Arial Unicode MS"/>
      <w:color w:val="000000"/>
      <w:sz w:val="18"/>
      <w:szCs w:val="18"/>
      <w:u w:color="000000"/>
      <w:lang w:val="en-US"/>
    </w:rPr>
  </w:style>
  <w:style w:type="paragraph" w:customStyle="1" w:styleId="P68B1DB1-Normale17">
    <w:name w:val="P68B1DB1-Normale17"/>
    <w:basedOn w:val="Normale"/>
    <w:rsid w:val="00D64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highlight w:val="yellow"/>
      <w:bdr w:val="none" w:sz="0" w:space="0" w:color="auto"/>
      <w:lang w:eastAsia="it-IT"/>
    </w:rPr>
  </w:style>
  <w:style w:type="paragraph" w:customStyle="1" w:styleId="P68B1DB1-Paragrafoelenco3">
    <w:name w:val="P68B1DB1-Paragrafoelenco3"/>
    <w:basedOn w:val="Paragrafoelenco"/>
    <w:rsid w:val="001B63D3"/>
    <w:p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pPr>
    <w:rPr>
      <w:rFonts w:eastAsia="Times New Roman"/>
      <w:sz w:val="20"/>
      <w:szCs w:val="20"/>
      <w:highlight w:val="yellow"/>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7</cp:revision>
  <dcterms:created xsi:type="dcterms:W3CDTF">2022-07-06T09:29:00Z</dcterms:created>
  <dcterms:modified xsi:type="dcterms:W3CDTF">2022-11-24T15:37:00Z</dcterms:modified>
</cp:coreProperties>
</file>