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85A8" w14:textId="77777777" w:rsidR="006F1772" w:rsidRPr="005B23A5" w:rsidRDefault="00BA1E9D" w:rsidP="00EC3074">
      <w:pPr>
        <w:pStyle w:val="Titolo1"/>
        <w:ind w:left="0" w:firstLine="0"/>
        <w:rPr>
          <w:lang w:val="en-US"/>
        </w:rPr>
      </w:pPr>
      <w:r w:rsidRPr="005B23A5">
        <w:rPr>
          <w:lang w:val="en-US"/>
        </w:rPr>
        <w:t>Economics</w:t>
      </w:r>
      <w:r w:rsidR="00572DB6" w:rsidRPr="005B23A5">
        <w:rPr>
          <w:lang w:val="en-US"/>
        </w:rPr>
        <w:t xml:space="preserve"> of Emerging Markets</w:t>
      </w:r>
    </w:p>
    <w:p w14:paraId="64DB4390" w14:textId="77777777" w:rsidR="007E02E8" w:rsidRPr="005B23A5" w:rsidRDefault="00F223DF" w:rsidP="00F223DF">
      <w:pPr>
        <w:pStyle w:val="Titolo2"/>
      </w:pPr>
      <w:r w:rsidRPr="005B23A5">
        <w:rPr>
          <w:lang w:val="en-US"/>
        </w:rPr>
        <w:t xml:space="preserve">Prof. </w:t>
      </w:r>
      <w:r w:rsidR="007E02E8" w:rsidRPr="005B23A5">
        <w:t>Marco Lossani</w:t>
      </w:r>
    </w:p>
    <w:p w14:paraId="4ABBDABB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 xml:space="preserve">COURSE AIMS AND INTENDED LEARNING OUTCOMES </w:t>
      </w:r>
    </w:p>
    <w:p w14:paraId="23C31599" w14:textId="77777777" w:rsidR="00820F8E" w:rsidRPr="005B23A5" w:rsidRDefault="007D659C" w:rsidP="00BA1E9D">
      <w:pPr>
        <w:spacing w:line="240" w:lineRule="exact"/>
        <w:rPr>
          <w:lang w:val="en-US"/>
        </w:rPr>
      </w:pPr>
      <w:r w:rsidRPr="005B23A5">
        <w:rPr>
          <w:lang w:val="en-US"/>
        </w:rPr>
        <w:t>The primary purpose of this course is to give participants the</w:t>
      </w:r>
      <w:r w:rsidRPr="005B23A5">
        <w:rPr>
          <w:lang w:val="en-GB"/>
        </w:rPr>
        <w:t xml:space="preserve"> logical framework and the basic tools useful to understand</w:t>
      </w:r>
      <w:r w:rsidRPr="005B23A5">
        <w:rPr>
          <w:lang w:val="en-US"/>
        </w:rPr>
        <w:t xml:space="preserve"> the increasing role played by emerging markets during the recent globalization wave. </w:t>
      </w:r>
      <w:r w:rsidRPr="005B23A5">
        <w:rPr>
          <w:lang w:val="en-GB"/>
        </w:rPr>
        <w:t xml:space="preserve">The course aims at providing the tools useful to understand </w:t>
      </w:r>
      <w:r w:rsidR="00D85164" w:rsidRPr="005B23A5">
        <w:rPr>
          <w:lang w:val="en-GB"/>
        </w:rPr>
        <w:t>how</w:t>
      </w:r>
      <w:r w:rsidRPr="005B23A5">
        <w:rPr>
          <w:lang w:val="en-GB"/>
        </w:rPr>
        <w:t xml:space="preserve"> an emerging economy can sustain a persistent growth, while limiting the business cycle volatility.</w:t>
      </w:r>
      <w:r w:rsidR="00820F8E" w:rsidRPr="005B23A5">
        <w:rPr>
          <w:lang w:val="en-GB"/>
        </w:rPr>
        <w:t xml:space="preserve"> </w:t>
      </w:r>
      <w:r w:rsidR="00820F8E" w:rsidRPr="005B23A5">
        <w:rPr>
          <w:lang w:val="en-US"/>
        </w:rPr>
        <w:t xml:space="preserve">Theoretical lectures will be supplemented by several case-studies taken from the recent evolution of </w:t>
      </w:r>
      <w:r w:rsidRPr="005B23A5">
        <w:rPr>
          <w:lang w:val="en-US"/>
        </w:rPr>
        <w:t>the most important emerging markets</w:t>
      </w:r>
      <w:r w:rsidR="00820F8E" w:rsidRPr="005B23A5">
        <w:rPr>
          <w:lang w:val="en-US"/>
        </w:rPr>
        <w:t>.</w:t>
      </w:r>
    </w:p>
    <w:p w14:paraId="0E204402" w14:textId="77777777" w:rsidR="00962038" w:rsidRPr="005B23A5" w:rsidRDefault="00962038" w:rsidP="00572DB6">
      <w:pPr>
        <w:pStyle w:val="NormaleWeb"/>
        <w:spacing w:before="120" w:beforeAutospacing="0" w:after="0" w:afterAutospacing="0"/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A</w:t>
      </w:r>
      <w:r w:rsidR="00820F8E" w:rsidRPr="005B23A5">
        <w:rPr>
          <w:sz w:val="20"/>
          <w:szCs w:val="20"/>
          <w:lang w:val="en-US"/>
        </w:rPr>
        <w:t>t the end of the course students have to</w:t>
      </w:r>
      <w:r w:rsidRPr="005B23A5">
        <w:rPr>
          <w:sz w:val="20"/>
          <w:szCs w:val="20"/>
          <w:lang w:val="en-US"/>
        </w:rPr>
        <w:t xml:space="preserve">: </w:t>
      </w:r>
    </w:p>
    <w:p w14:paraId="06DDC7C3" w14:textId="77777777" w:rsidR="007D659C" w:rsidRPr="005B23A5" w:rsidRDefault="007D659C" w:rsidP="00572DB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Understand the most important features of the macro models useful to explain the long-run growth of emerging markets.</w:t>
      </w:r>
    </w:p>
    <w:p w14:paraId="05453ED0" w14:textId="77777777" w:rsidR="007D659C" w:rsidRPr="005B23A5" w:rsidRDefault="007D659C" w:rsidP="007D659C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 xml:space="preserve">Understand the most important </w:t>
      </w:r>
      <w:r w:rsidR="00164F93" w:rsidRPr="005B23A5">
        <w:rPr>
          <w:sz w:val="20"/>
          <w:szCs w:val="20"/>
          <w:lang w:val="en-US"/>
        </w:rPr>
        <w:t xml:space="preserve">macro indicators useful to interpret </w:t>
      </w:r>
      <w:r w:rsidRPr="005B23A5">
        <w:rPr>
          <w:sz w:val="20"/>
          <w:szCs w:val="20"/>
          <w:lang w:val="en-US"/>
        </w:rPr>
        <w:t xml:space="preserve">the </w:t>
      </w:r>
      <w:r w:rsidR="00164F93" w:rsidRPr="005B23A5">
        <w:rPr>
          <w:sz w:val="20"/>
          <w:szCs w:val="20"/>
          <w:lang w:val="en-US"/>
        </w:rPr>
        <w:t>short</w:t>
      </w:r>
      <w:r w:rsidRPr="005B23A5">
        <w:rPr>
          <w:sz w:val="20"/>
          <w:szCs w:val="20"/>
          <w:lang w:val="en-US"/>
        </w:rPr>
        <w:t xml:space="preserve">-run </w:t>
      </w:r>
      <w:r w:rsidR="00164F93" w:rsidRPr="005B23A5">
        <w:rPr>
          <w:sz w:val="20"/>
          <w:szCs w:val="20"/>
          <w:lang w:val="en-US"/>
        </w:rPr>
        <w:t>evolution of the business cycle of</w:t>
      </w:r>
      <w:r w:rsidRPr="005B23A5">
        <w:rPr>
          <w:sz w:val="20"/>
          <w:szCs w:val="20"/>
          <w:lang w:val="en-US"/>
        </w:rPr>
        <w:t xml:space="preserve"> emerging markets.</w:t>
      </w:r>
    </w:p>
    <w:p w14:paraId="4C87632A" w14:textId="77777777" w:rsidR="00164F93" w:rsidRPr="005B23A5" w:rsidRDefault="00820F8E" w:rsidP="00962038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 xml:space="preserve">Understand the most important </w:t>
      </w:r>
      <w:r w:rsidR="00164F93" w:rsidRPr="005B23A5">
        <w:rPr>
          <w:sz w:val="20"/>
          <w:szCs w:val="20"/>
          <w:lang w:val="en-US"/>
        </w:rPr>
        <w:t>documents prepared by international organizations and think-tanks on the evolution of emerging markets</w:t>
      </w:r>
      <w:r w:rsidR="00D85164" w:rsidRPr="005B23A5">
        <w:rPr>
          <w:sz w:val="20"/>
          <w:szCs w:val="20"/>
          <w:lang w:val="en-US"/>
        </w:rPr>
        <w:t>.</w:t>
      </w:r>
    </w:p>
    <w:p w14:paraId="00F4258B" w14:textId="77777777" w:rsidR="00962038" w:rsidRPr="005B23A5" w:rsidRDefault="005B7E5D" w:rsidP="00572DB6">
      <w:pPr>
        <w:pStyle w:val="NormaleWeb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5B23A5">
        <w:rPr>
          <w:sz w:val="20"/>
          <w:szCs w:val="20"/>
          <w:lang w:val="en-US"/>
        </w:rPr>
        <w:t>Command the technical jargon useful to communicate efficiently the acquired knowledge.</w:t>
      </w:r>
    </w:p>
    <w:p w14:paraId="3150EC76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COURSE CONTENT</w:t>
      </w:r>
    </w:p>
    <w:p w14:paraId="088C2FBB" w14:textId="77777777" w:rsidR="001265E2" w:rsidRPr="005B23A5" w:rsidRDefault="00990660" w:rsidP="00572DB6">
      <w:pPr>
        <w:spacing w:line="240" w:lineRule="exact"/>
        <w:rPr>
          <w:lang w:val="en-US"/>
        </w:rPr>
      </w:pPr>
      <w:r w:rsidRPr="005B23A5">
        <w:rPr>
          <w:lang w:val="en-US"/>
        </w:rPr>
        <w:t>The course is divided in two units</w:t>
      </w:r>
      <w:r w:rsidR="001265E2" w:rsidRPr="005B23A5">
        <w:rPr>
          <w:lang w:val="en-US"/>
        </w:rPr>
        <w:t>:</w:t>
      </w:r>
    </w:p>
    <w:p w14:paraId="050FD524" w14:textId="77777777" w:rsidR="00857302" w:rsidRPr="005B23A5" w:rsidRDefault="00164F93" w:rsidP="00566EBC">
      <w:pPr>
        <w:spacing w:before="120" w:line="240" w:lineRule="exact"/>
        <w:rPr>
          <w:lang w:val="en-GB"/>
        </w:rPr>
      </w:pPr>
      <w:r w:rsidRPr="005B23A5">
        <w:rPr>
          <w:i/>
          <w:lang w:val="en-GB"/>
        </w:rPr>
        <w:t>Long-run growth in Emerging Markets (EMs)</w:t>
      </w:r>
      <w:r w:rsidR="004267B1" w:rsidRPr="005B23A5">
        <w:rPr>
          <w:i/>
          <w:lang w:val="en-GB"/>
        </w:rPr>
        <w:t>.</w:t>
      </w:r>
      <w:r w:rsidR="004267B1" w:rsidRPr="005B23A5">
        <w:rPr>
          <w:lang w:val="en-GB"/>
        </w:rPr>
        <w:t xml:space="preserve"> </w:t>
      </w:r>
      <w:r w:rsidR="00857302" w:rsidRPr="005B23A5">
        <w:rPr>
          <w:lang w:val="en-GB"/>
        </w:rPr>
        <w:t>The stylised facts related to growth in emerging economies</w:t>
      </w:r>
      <w:r w:rsidR="00566EBC" w:rsidRPr="005B23A5">
        <w:rPr>
          <w:lang w:val="en-GB"/>
        </w:rPr>
        <w:t>.</w:t>
      </w:r>
      <w:r w:rsidR="00857302" w:rsidRPr="005B23A5">
        <w:rPr>
          <w:lang w:val="en-GB"/>
        </w:rPr>
        <w:t xml:space="preserve"> The role played by the proximate determinants of growth</w:t>
      </w:r>
      <w:r w:rsidR="00566EBC" w:rsidRPr="005B23A5">
        <w:rPr>
          <w:lang w:val="en-GB"/>
        </w:rPr>
        <w:t xml:space="preserve">. </w:t>
      </w:r>
      <w:r w:rsidR="00857302" w:rsidRPr="005B23A5">
        <w:rPr>
          <w:lang w:val="en-GB"/>
        </w:rPr>
        <w:t>The accumulation of production factors and technological progress</w:t>
      </w:r>
      <w:r w:rsidR="00566EBC" w:rsidRPr="005B23A5">
        <w:rPr>
          <w:lang w:val="en-GB"/>
        </w:rPr>
        <w:t xml:space="preserve">. </w:t>
      </w:r>
      <w:r w:rsidR="00857302" w:rsidRPr="005B23A5">
        <w:rPr>
          <w:lang w:val="en-GB"/>
        </w:rPr>
        <w:t xml:space="preserve">Exogenous and endogenous growth models. The </w:t>
      </w:r>
      <w:r w:rsidR="005B23A5" w:rsidRPr="005B23A5">
        <w:rPr>
          <w:lang w:val="en-GB"/>
        </w:rPr>
        <w:t>r</w:t>
      </w:r>
      <w:r w:rsidR="00857302" w:rsidRPr="005B23A5">
        <w:rPr>
          <w:lang w:val="en-GB"/>
        </w:rPr>
        <w:t xml:space="preserve">ole played by the deep determinants of growth. Geography and natural resources. Institutions (both extractive and inclusive). </w:t>
      </w:r>
      <w:r w:rsidR="003E2B85" w:rsidRPr="005B23A5">
        <w:rPr>
          <w:lang w:val="en-GB"/>
        </w:rPr>
        <w:t>Commercial and financial liberalisation during the last phase of globalisation. The relevance of GVCs and the new international division of labour. From financial repression to financial liberalisation.</w:t>
      </w:r>
    </w:p>
    <w:p w14:paraId="4B708AC0" w14:textId="611F11C0" w:rsidR="003E2B85" w:rsidRPr="005B23A5" w:rsidRDefault="00D85164" w:rsidP="00566EBC">
      <w:pPr>
        <w:spacing w:before="120" w:line="240" w:lineRule="exact"/>
        <w:rPr>
          <w:lang w:val="en-GB"/>
        </w:rPr>
      </w:pPr>
      <w:r w:rsidRPr="005B23A5">
        <w:rPr>
          <w:i/>
          <w:lang w:val="en-GB"/>
        </w:rPr>
        <w:t xml:space="preserve">Business Cycle and volatility in Emerging Markets (EMs). </w:t>
      </w:r>
      <w:r w:rsidR="000374FC" w:rsidRPr="005B23A5">
        <w:rPr>
          <w:lang w:val="en-US"/>
        </w:rPr>
        <w:t>The relation between long-run growth and business cycle. E</w:t>
      </w:r>
      <w:r w:rsidRPr="005B23A5">
        <w:rPr>
          <w:lang w:val="en-US"/>
        </w:rPr>
        <w:t xml:space="preserve">Ms business cycle: </w:t>
      </w:r>
      <w:r w:rsidR="000374FC" w:rsidRPr="005B23A5">
        <w:rPr>
          <w:lang w:val="en-US"/>
        </w:rPr>
        <w:t xml:space="preserve">main </w:t>
      </w:r>
      <w:r w:rsidRPr="005B23A5">
        <w:rPr>
          <w:lang w:val="en-US"/>
        </w:rPr>
        <w:t xml:space="preserve">stylized facts. </w:t>
      </w:r>
      <w:r w:rsidR="000374FC" w:rsidRPr="005B23A5">
        <w:rPr>
          <w:lang w:val="en-US"/>
        </w:rPr>
        <w:t xml:space="preserve">Causes of business cycle volatility in EMs. The role of vulnerabilities: currency and maturity mismatch, capital reversal, sovereign risk, original sin and debt intolerance. From vulnerabilities to financial crises: determinants of (and interdependencies among) </w:t>
      </w:r>
      <w:r w:rsidR="000374FC" w:rsidRPr="005B23A5">
        <w:rPr>
          <w:lang w:val="en-US"/>
        </w:rPr>
        <w:lastRenderedPageBreak/>
        <w:t xml:space="preserve">currency crises, banking crises and sovereign crises. </w:t>
      </w:r>
      <w:r w:rsidR="003E2B85" w:rsidRPr="005B23A5">
        <w:rPr>
          <w:lang w:val="en-GB"/>
        </w:rPr>
        <w:t>The (apparent</w:t>
      </w:r>
      <w:r w:rsidR="00566EBC" w:rsidRPr="005B23A5">
        <w:rPr>
          <w:lang w:val="en-GB"/>
        </w:rPr>
        <w:t>) emancipa</w:t>
      </w:r>
      <w:r w:rsidR="003E2B85" w:rsidRPr="005B23A5">
        <w:rPr>
          <w:lang w:val="en-GB"/>
        </w:rPr>
        <w:t xml:space="preserve">tion of emerging economies. From a </w:t>
      </w:r>
      <w:r w:rsidR="005B23A5" w:rsidRPr="005B23A5">
        <w:rPr>
          <w:lang w:val="en-GB"/>
        </w:rPr>
        <w:t xml:space="preserve">(fiscal and monetary) </w:t>
      </w:r>
      <w:r w:rsidR="003E2B85" w:rsidRPr="005B23A5">
        <w:rPr>
          <w:lang w:val="en-GB"/>
        </w:rPr>
        <w:t>procyclica</w:t>
      </w:r>
      <w:r w:rsidR="00141E1D">
        <w:rPr>
          <w:lang w:val="en-GB"/>
        </w:rPr>
        <w:t>l to a countercyclical economic</w:t>
      </w:r>
      <w:r w:rsidR="003E2B85" w:rsidRPr="005B23A5">
        <w:rPr>
          <w:lang w:val="en-GB"/>
        </w:rPr>
        <w:t xml:space="preserve"> policy. Current account deficits and accumulation of official reserves. The impact of the COVID-19 pandemic.</w:t>
      </w:r>
      <w:r w:rsidR="00FC63E0">
        <w:rPr>
          <w:lang w:val="en-GB"/>
        </w:rPr>
        <w:t xml:space="preserve"> </w:t>
      </w:r>
      <w:r w:rsidR="00FC63E0" w:rsidRPr="00FC63E0">
        <w:rPr>
          <w:lang w:val="en-GB"/>
        </w:rPr>
        <w:t>The consequences of the conflict in Ukraine.</w:t>
      </w:r>
    </w:p>
    <w:p w14:paraId="3787C094" w14:textId="77777777" w:rsidR="00572DB6" w:rsidRPr="005B23A5" w:rsidRDefault="00572DB6" w:rsidP="00566EBC">
      <w:pPr>
        <w:spacing w:before="120" w:line="240" w:lineRule="exact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READING LIST</w:t>
      </w:r>
    </w:p>
    <w:p w14:paraId="6DF3C13C" w14:textId="77777777" w:rsidR="00F26C14" w:rsidRPr="005B23A5" w:rsidRDefault="00F26C14" w:rsidP="00F26C14">
      <w:pPr>
        <w:pStyle w:val="Testo1"/>
        <w:spacing w:before="0" w:line="240" w:lineRule="atLeast"/>
        <w:rPr>
          <w:spacing w:val="-5"/>
        </w:rPr>
      </w:pPr>
      <w:r w:rsidRPr="005B23A5">
        <w:rPr>
          <w:lang w:val="en-US"/>
        </w:rPr>
        <w:t>1.</w:t>
      </w:r>
      <w:r w:rsidRPr="005B23A5">
        <w:rPr>
          <w:lang w:val="en-US"/>
        </w:rPr>
        <w:tab/>
      </w:r>
      <w:r w:rsidRPr="005B23A5">
        <w:rPr>
          <w:smallCaps/>
          <w:spacing w:val="-5"/>
          <w:sz w:val="16"/>
          <w:lang w:val="en-US"/>
        </w:rPr>
        <w:t xml:space="preserve">E. Colombo-M. </w:t>
      </w:r>
      <w:r w:rsidRPr="005B23A5">
        <w:rPr>
          <w:smallCaps/>
          <w:spacing w:val="-5"/>
          <w:sz w:val="16"/>
        </w:rPr>
        <w:t>Lossani,</w:t>
      </w:r>
      <w:r w:rsidRPr="005B23A5">
        <w:rPr>
          <w:i/>
          <w:spacing w:val="-5"/>
        </w:rPr>
        <w:t xml:space="preserve"> Economia dei Mercati Emergenti,</w:t>
      </w:r>
      <w:r w:rsidRPr="005B23A5">
        <w:rPr>
          <w:spacing w:val="-5"/>
        </w:rPr>
        <w:t xml:space="preserve"> Carocci Editore, 2009.</w:t>
      </w:r>
    </w:p>
    <w:p w14:paraId="3B4901F9" w14:textId="77777777" w:rsidR="00F26C14" w:rsidRPr="005B23A5" w:rsidRDefault="00F26C14" w:rsidP="00F26C14">
      <w:pPr>
        <w:pStyle w:val="Testo1"/>
        <w:spacing w:before="0" w:line="240" w:lineRule="atLeast"/>
        <w:rPr>
          <w:spacing w:val="-5"/>
          <w:lang w:val="en-US"/>
        </w:rPr>
      </w:pPr>
      <w:r w:rsidRPr="005B23A5">
        <w:t>2.</w:t>
      </w:r>
      <w:r w:rsidRPr="005B23A5">
        <w:tab/>
      </w:r>
      <w:r w:rsidRPr="005B23A5">
        <w:rPr>
          <w:smallCaps/>
          <w:spacing w:val="-5"/>
          <w:sz w:val="16"/>
        </w:rPr>
        <w:t xml:space="preserve">D. Weil, </w:t>
      </w:r>
      <w:r w:rsidRPr="005B23A5">
        <w:rPr>
          <w:i/>
          <w:spacing w:val="-5"/>
        </w:rPr>
        <w:t xml:space="preserve">Crescita Economica. Problemi, Dati e Metodi di Analisi. </w:t>
      </w:r>
      <w:r w:rsidRPr="005B23A5">
        <w:rPr>
          <w:spacing w:val="-5"/>
          <w:lang w:val="en-US"/>
        </w:rPr>
        <w:t>Hoepli, 2007.</w:t>
      </w:r>
    </w:p>
    <w:p w14:paraId="7ADD8BF0" w14:textId="77777777" w:rsidR="00D1424F" w:rsidRPr="005B23A5" w:rsidRDefault="008A4C1C" w:rsidP="00D1424F">
      <w:pPr>
        <w:pStyle w:val="Testo1"/>
        <w:rPr>
          <w:rFonts w:ascii="Times New Roman" w:hAnsi="Times New Roman"/>
          <w:szCs w:val="18"/>
          <w:lang w:val="en-US"/>
        </w:rPr>
      </w:pPr>
      <w:r w:rsidRPr="005B23A5">
        <w:rPr>
          <w:rFonts w:ascii="Times New Roman" w:hAnsi="Times New Roman"/>
          <w:szCs w:val="18"/>
          <w:lang w:val="en-US"/>
        </w:rPr>
        <w:t xml:space="preserve">Additional material </w:t>
      </w:r>
      <w:r w:rsidR="00F26C14" w:rsidRPr="005B23A5">
        <w:rPr>
          <w:rFonts w:ascii="Times New Roman" w:hAnsi="Times New Roman"/>
          <w:szCs w:val="18"/>
          <w:lang w:val="en-US"/>
        </w:rPr>
        <w:t xml:space="preserve">(papers and slides) </w:t>
      </w:r>
      <w:r w:rsidRPr="005B23A5">
        <w:rPr>
          <w:rFonts w:ascii="Times New Roman" w:hAnsi="Times New Roman"/>
          <w:szCs w:val="18"/>
          <w:lang w:val="en-US"/>
        </w:rPr>
        <w:t xml:space="preserve">will be provided on </w:t>
      </w:r>
      <w:r w:rsidR="00D1424F" w:rsidRPr="005B23A5">
        <w:rPr>
          <w:rFonts w:ascii="Times New Roman" w:hAnsi="Times New Roman"/>
          <w:szCs w:val="18"/>
          <w:lang w:val="en-US"/>
        </w:rPr>
        <w:t>Blackboard.</w:t>
      </w:r>
    </w:p>
    <w:p w14:paraId="204E7844" w14:textId="77777777" w:rsidR="00962038" w:rsidRPr="005B23A5" w:rsidRDefault="00990660" w:rsidP="00962038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B23A5">
        <w:rPr>
          <w:b/>
          <w:i/>
          <w:sz w:val="18"/>
          <w:szCs w:val="18"/>
          <w:lang w:val="en-US"/>
        </w:rPr>
        <w:t>TEACHING METHOD</w:t>
      </w:r>
    </w:p>
    <w:p w14:paraId="7D6888C3" w14:textId="77777777" w:rsidR="00962038" w:rsidRPr="005B23A5" w:rsidRDefault="00990660" w:rsidP="00D1424F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5B23A5">
        <w:rPr>
          <w:rFonts w:ascii="Times New Roman" w:hAnsi="Times New Roman"/>
          <w:szCs w:val="18"/>
          <w:lang w:val="en-US"/>
        </w:rPr>
        <w:t>Lectures and discussion of case studies</w:t>
      </w:r>
    </w:p>
    <w:p w14:paraId="2E53ACA8" w14:textId="77777777" w:rsidR="00572DB6" w:rsidRPr="005B23A5" w:rsidRDefault="00572DB6" w:rsidP="00572DB6">
      <w:pPr>
        <w:spacing w:before="240" w:after="120" w:line="220" w:lineRule="exact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ASSESSMENT METHOD AND CRITERIA</w:t>
      </w:r>
    </w:p>
    <w:p w14:paraId="5B1380C5" w14:textId="77777777" w:rsidR="008A4C1C" w:rsidRPr="005B23A5" w:rsidRDefault="008A4C1C" w:rsidP="00572DB6">
      <w:pPr>
        <w:pStyle w:val="Testo2"/>
        <w:rPr>
          <w:rFonts w:ascii="Times New Roman" w:hAnsi="Times New Roman"/>
          <w:szCs w:val="18"/>
          <w:lang w:val="en-US"/>
        </w:rPr>
      </w:pPr>
      <w:r w:rsidRPr="005B23A5">
        <w:rPr>
          <w:rFonts w:ascii="Times New Roman" w:hAnsi="Times New Roman"/>
          <w:szCs w:val="18"/>
          <w:lang w:val="en-US"/>
        </w:rPr>
        <w:t xml:space="preserve">Written exam, open ended questions on the whole program, two-hour long </w:t>
      </w:r>
    </w:p>
    <w:p w14:paraId="7C9A0209" w14:textId="48B253EB" w:rsidR="00AF5CBB" w:rsidRPr="00AF5CBB" w:rsidRDefault="008A4C1C" w:rsidP="00AF5CBB">
      <w:pPr>
        <w:pStyle w:val="Testo2"/>
        <w:spacing w:before="120"/>
      </w:pPr>
      <w:r w:rsidRPr="005B23A5">
        <w:rPr>
          <w:rFonts w:ascii="Times New Roman" w:hAnsi="Times New Roman"/>
          <w:szCs w:val="18"/>
          <w:lang w:val="en-US"/>
        </w:rPr>
        <w:t xml:space="preserve">This written exam can be </w:t>
      </w:r>
      <w:r w:rsidR="004267B1" w:rsidRPr="005B23A5">
        <w:rPr>
          <w:rFonts w:ascii="Times New Roman" w:hAnsi="Times New Roman"/>
          <w:szCs w:val="18"/>
          <w:lang w:val="en-US"/>
        </w:rPr>
        <w:t xml:space="preserve">replaced by </w:t>
      </w:r>
      <w:r w:rsidRPr="005B23A5">
        <w:rPr>
          <w:rFonts w:ascii="Times New Roman" w:hAnsi="Times New Roman"/>
          <w:szCs w:val="18"/>
          <w:lang w:val="en-US"/>
        </w:rPr>
        <w:t xml:space="preserve">two tests, each one-hour long, both concurring on equal terms to the definition of the final grade: The mid-term will take place during the break of the </w:t>
      </w:r>
      <w:r w:rsidR="00F26C14" w:rsidRPr="005B23A5">
        <w:rPr>
          <w:rFonts w:ascii="Times New Roman" w:hAnsi="Times New Roman"/>
          <w:szCs w:val="18"/>
          <w:lang w:val="en-US"/>
        </w:rPr>
        <w:t>first semes</w:t>
      </w:r>
      <w:r w:rsidRPr="005B23A5">
        <w:rPr>
          <w:rFonts w:ascii="Times New Roman" w:hAnsi="Times New Roman"/>
          <w:szCs w:val="18"/>
          <w:lang w:val="en-US"/>
        </w:rPr>
        <w:t xml:space="preserve">ter </w:t>
      </w:r>
      <w:r w:rsidR="00FC63E0" w:rsidRPr="00FC63E0">
        <w:rPr>
          <w:rFonts w:ascii="Times New Roman" w:hAnsi="Times New Roman"/>
          <w:szCs w:val="18"/>
          <w:lang w:val="en-US"/>
        </w:rPr>
        <w:t xml:space="preserve">in the examination session of January-February 2023 </w:t>
      </w:r>
      <w:r w:rsidR="00AF5CBB" w:rsidRPr="00FC63E0">
        <w:t xml:space="preserve">– </w:t>
      </w:r>
      <w:r w:rsidR="00FC63E0" w:rsidRPr="00FC63E0">
        <w:t>to which all students can participate</w:t>
      </w:r>
      <w:r w:rsidR="00AF5CBB" w:rsidRPr="00FC63E0">
        <w:t xml:space="preserve">. </w:t>
      </w:r>
      <w:r w:rsidR="00FC63E0" w:rsidRPr="00FC63E0">
        <w:t>Detailed instructions regarding the modalities of the above tests will be made available in Blackboard.</w:t>
      </w:r>
    </w:p>
    <w:p w14:paraId="2F725C07" w14:textId="77777777" w:rsidR="00572DB6" w:rsidRPr="005B23A5" w:rsidRDefault="00572DB6" w:rsidP="00572DB6">
      <w:pPr>
        <w:spacing w:before="240" w:after="120"/>
        <w:rPr>
          <w:b/>
          <w:i/>
          <w:sz w:val="18"/>
          <w:lang w:val="en-US"/>
        </w:rPr>
      </w:pPr>
      <w:r w:rsidRPr="005B23A5">
        <w:rPr>
          <w:b/>
          <w:i/>
          <w:sz w:val="18"/>
          <w:lang w:val="en-US"/>
        </w:rPr>
        <w:t>NOTES AND PREREQUISITES</w:t>
      </w:r>
    </w:p>
    <w:p w14:paraId="51413C47" w14:textId="77777777" w:rsidR="00566EBC" w:rsidRPr="005B23A5" w:rsidRDefault="003E2B85" w:rsidP="00566EBC">
      <w:pPr>
        <w:pStyle w:val="Testo2"/>
        <w:rPr>
          <w:i/>
          <w:lang w:val="en-US"/>
        </w:rPr>
      </w:pPr>
      <w:r w:rsidRPr="005B23A5">
        <w:rPr>
          <w:i/>
          <w:lang w:val="en-US"/>
        </w:rPr>
        <w:t>Prerequisites</w:t>
      </w:r>
    </w:p>
    <w:p w14:paraId="4EB2516D" w14:textId="77777777" w:rsidR="00566EBC" w:rsidRPr="005B23A5" w:rsidRDefault="003E2B85" w:rsidP="00BB0808">
      <w:pPr>
        <w:pStyle w:val="Testo2"/>
        <w:rPr>
          <w:lang w:val="en-US"/>
        </w:rPr>
      </w:pPr>
      <w:r w:rsidRPr="005B23A5">
        <w:rPr>
          <w:lang w:val="en-GB"/>
        </w:rPr>
        <w:t>In order to get the most out of this course, students should have a basic knowledge of the key concepts of microeconomics, macroeconomics, international economics, and development economics. Otherwise, they are invited to contact the lecturer before the beginning of the course.</w:t>
      </w:r>
      <w:r w:rsidR="00BB0808" w:rsidRPr="005B23A5">
        <w:rPr>
          <w:lang w:val="en-GB"/>
        </w:rPr>
        <w:t xml:space="preserve"> Class attendance and an active participation during the lectures are highly recommended.</w:t>
      </w:r>
    </w:p>
    <w:p w14:paraId="29EA9013" w14:textId="77777777" w:rsidR="00566EBC" w:rsidRPr="005B23A5" w:rsidRDefault="00566EBC" w:rsidP="00566EBC">
      <w:pPr>
        <w:spacing w:before="120"/>
        <w:ind w:firstLine="284"/>
        <w:rPr>
          <w:sz w:val="18"/>
          <w:szCs w:val="18"/>
          <w:lang w:val="en-US"/>
        </w:rPr>
      </w:pPr>
      <w:r w:rsidRPr="005B23A5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6A5FBB3" w14:textId="77777777" w:rsidR="00566EBC" w:rsidRDefault="00566EBC" w:rsidP="00566EBC">
      <w:pPr>
        <w:pStyle w:val="Testo2"/>
        <w:spacing w:before="120"/>
        <w:rPr>
          <w:i/>
          <w:lang w:val="en-GB"/>
        </w:rPr>
      </w:pPr>
      <w:r w:rsidRPr="005B23A5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48B5D0DA" w14:textId="77777777" w:rsidR="00566EBC" w:rsidRPr="00B90F70" w:rsidRDefault="00566EBC" w:rsidP="00566EBC">
      <w:pPr>
        <w:pStyle w:val="Testo2"/>
        <w:rPr>
          <w:lang w:val="en-GB"/>
        </w:rPr>
      </w:pPr>
    </w:p>
    <w:p w14:paraId="021A1856" w14:textId="77777777" w:rsidR="00056657" w:rsidRPr="008A4C1C" w:rsidRDefault="00056657" w:rsidP="00566EBC">
      <w:pPr>
        <w:spacing w:line="240" w:lineRule="exact"/>
        <w:ind w:firstLine="284"/>
        <w:rPr>
          <w:lang w:val="en-US"/>
        </w:rPr>
      </w:pPr>
    </w:p>
    <w:sectPr w:rsidR="00056657" w:rsidRPr="008A4C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6A7" w14:textId="77777777" w:rsidR="008B45BB" w:rsidRDefault="008B45BB" w:rsidP="00962038">
      <w:r>
        <w:separator/>
      </w:r>
    </w:p>
  </w:endnote>
  <w:endnote w:type="continuationSeparator" w:id="0">
    <w:p w14:paraId="61A88CE9" w14:textId="77777777" w:rsidR="008B45BB" w:rsidRDefault="008B45BB" w:rsidP="009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4640" w14:textId="77777777" w:rsidR="008B45BB" w:rsidRDefault="008B45BB" w:rsidP="00962038">
      <w:r>
        <w:separator/>
      </w:r>
    </w:p>
  </w:footnote>
  <w:footnote w:type="continuationSeparator" w:id="0">
    <w:p w14:paraId="14A78CB4" w14:textId="77777777" w:rsidR="008B45BB" w:rsidRDefault="008B45BB" w:rsidP="0096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20D4"/>
    <w:multiLevelType w:val="hybridMultilevel"/>
    <w:tmpl w:val="5F524314"/>
    <w:lvl w:ilvl="0" w:tplc="DFF421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3610119">
    <w:abstractNumId w:val="3"/>
  </w:num>
  <w:num w:numId="2" w16cid:durableId="341014251">
    <w:abstractNumId w:val="2"/>
  </w:num>
  <w:num w:numId="3" w16cid:durableId="48499496">
    <w:abstractNumId w:val="1"/>
  </w:num>
  <w:num w:numId="4" w16cid:durableId="47919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D9"/>
    <w:rsid w:val="000256E5"/>
    <w:rsid w:val="000374FC"/>
    <w:rsid w:val="00040DA8"/>
    <w:rsid w:val="00056657"/>
    <w:rsid w:val="000579A5"/>
    <w:rsid w:val="00080301"/>
    <w:rsid w:val="000F3D05"/>
    <w:rsid w:val="001219A5"/>
    <w:rsid w:val="001265E2"/>
    <w:rsid w:val="0013246C"/>
    <w:rsid w:val="00141E1D"/>
    <w:rsid w:val="00164F93"/>
    <w:rsid w:val="00187B99"/>
    <w:rsid w:val="001966F0"/>
    <w:rsid w:val="001D151E"/>
    <w:rsid w:val="002014DD"/>
    <w:rsid w:val="00212D81"/>
    <w:rsid w:val="00242B4B"/>
    <w:rsid w:val="002B393D"/>
    <w:rsid w:val="002B3E05"/>
    <w:rsid w:val="002D3FDF"/>
    <w:rsid w:val="002F64CB"/>
    <w:rsid w:val="00301B54"/>
    <w:rsid w:val="00333023"/>
    <w:rsid w:val="003A380E"/>
    <w:rsid w:val="003E2B85"/>
    <w:rsid w:val="00401F7E"/>
    <w:rsid w:val="004267B1"/>
    <w:rsid w:val="0048270A"/>
    <w:rsid w:val="00483A55"/>
    <w:rsid w:val="004A59A2"/>
    <w:rsid w:val="004B4F46"/>
    <w:rsid w:val="004B7C2E"/>
    <w:rsid w:val="004D1217"/>
    <w:rsid w:val="004D6008"/>
    <w:rsid w:val="004E6F80"/>
    <w:rsid w:val="00514514"/>
    <w:rsid w:val="00566EBC"/>
    <w:rsid w:val="00572DB6"/>
    <w:rsid w:val="00583117"/>
    <w:rsid w:val="005A1017"/>
    <w:rsid w:val="005A6BF0"/>
    <w:rsid w:val="005B23A5"/>
    <w:rsid w:val="005B7E5D"/>
    <w:rsid w:val="005D67D9"/>
    <w:rsid w:val="005E1C14"/>
    <w:rsid w:val="00655B85"/>
    <w:rsid w:val="006F1772"/>
    <w:rsid w:val="00736526"/>
    <w:rsid w:val="00740C34"/>
    <w:rsid w:val="00767B79"/>
    <w:rsid w:val="00771ECF"/>
    <w:rsid w:val="007D354D"/>
    <w:rsid w:val="007D659C"/>
    <w:rsid w:val="007E02E8"/>
    <w:rsid w:val="007E0822"/>
    <w:rsid w:val="007E55A9"/>
    <w:rsid w:val="00820F8E"/>
    <w:rsid w:val="0084574B"/>
    <w:rsid w:val="00857302"/>
    <w:rsid w:val="008731DF"/>
    <w:rsid w:val="00891F70"/>
    <w:rsid w:val="008A1204"/>
    <w:rsid w:val="008A4C1C"/>
    <w:rsid w:val="008B45BB"/>
    <w:rsid w:val="00900CCA"/>
    <w:rsid w:val="009200FA"/>
    <w:rsid w:val="00924B77"/>
    <w:rsid w:val="00940DA2"/>
    <w:rsid w:val="00962038"/>
    <w:rsid w:val="00990660"/>
    <w:rsid w:val="00991795"/>
    <w:rsid w:val="009A10BD"/>
    <w:rsid w:val="009B2458"/>
    <w:rsid w:val="009D6ABE"/>
    <w:rsid w:val="009E055C"/>
    <w:rsid w:val="009E5A07"/>
    <w:rsid w:val="009E7B4D"/>
    <w:rsid w:val="009F6A1D"/>
    <w:rsid w:val="00A22E23"/>
    <w:rsid w:val="00A74F6F"/>
    <w:rsid w:val="00AD7557"/>
    <w:rsid w:val="00AF5CBB"/>
    <w:rsid w:val="00B51253"/>
    <w:rsid w:val="00B525CC"/>
    <w:rsid w:val="00B6259E"/>
    <w:rsid w:val="00B65A85"/>
    <w:rsid w:val="00B90F70"/>
    <w:rsid w:val="00B9659D"/>
    <w:rsid w:val="00BA1E9D"/>
    <w:rsid w:val="00BB0808"/>
    <w:rsid w:val="00C278A2"/>
    <w:rsid w:val="00C53BB0"/>
    <w:rsid w:val="00D1424F"/>
    <w:rsid w:val="00D404F2"/>
    <w:rsid w:val="00D85164"/>
    <w:rsid w:val="00DA35CA"/>
    <w:rsid w:val="00E607E6"/>
    <w:rsid w:val="00E67CE1"/>
    <w:rsid w:val="00E86F3E"/>
    <w:rsid w:val="00E95D58"/>
    <w:rsid w:val="00EC3074"/>
    <w:rsid w:val="00ED6536"/>
    <w:rsid w:val="00F030F0"/>
    <w:rsid w:val="00F0614C"/>
    <w:rsid w:val="00F12789"/>
    <w:rsid w:val="00F223DF"/>
    <w:rsid w:val="00F26C14"/>
    <w:rsid w:val="00F668AE"/>
    <w:rsid w:val="00F7236F"/>
    <w:rsid w:val="00F91B12"/>
    <w:rsid w:val="00FC63E0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C973"/>
  <w15:docId w15:val="{5C845C18-1DD6-42F4-8A56-0504629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6203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2038"/>
  </w:style>
  <w:style w:type="character" w:styleId="Rimandonotaapidipagina">
    <w:name w:val="footnote reference"/>
    <w:basedOn w:val="Carpredefinitoparagrafo"/>
    <w:semiHidden/>
    <w:unhideWhenUsed/>
    <w:rsid w:val="0096203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2DB6"/>
    <w:pPr>
      <w:ind w:left="720"/>
      <w:contextualSpacing/>
    </w:pPr>
  </w:style>
  <w:style w:type="character" w:customStyle="1" w:styleId="Testo2Carattere">
    <w:name w:val="Testo 2 Carattere"/>
    <w:link w:val="Testo2"/>
    <w:rsid w:val="00566EBC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FC63E0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C63E0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584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4</cp:revision>
  <cp:lastPrinted>2019-05-17T16:11:00Z</cp:lastPrinted>
  <dcterms:created xsi:type="dcterms:W3CDTF">2022-07-13T13:27:00Z</dcterms:created>
  <dcterms:modified xsi:type="dcterms:W3CDTF">2022-12-05T09:47:00Z</dcterms:modified>
</cp:coreProperties>
</file>