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067E" w14:textId="77777777" w:rsidR="002D5E17" w:rsidRPr="00DA00E4" w:rsidRDefault="002F7365" w:rsidP="002F7365">
      <w:pPr>
        <w:pStyle w:val="Titolo1"/>
        <w:rPr>
          <w:lang w:val="en-US"/>
        </w:rPr>
      </w:pPr>
      <w:r w:rsidRPr="00DA00E4">
        <w:rPr>
          <w:lang w:val="en-US"/>
        </w:rPr>
        <w:t>Global challenges and firm strategies</w:t>
      </w:r>
    </w:p>
    <w:p w14:paraId="23F0F4B4" w14:textId="4BBA3D05" w:rsidR="002F7365" w:rsidRPr="00DA00E4" w:rsidRDefault="002F7365" w:rsidP="002F7365">
      <w:pPr>
        <w:pStyle w:val="Titolo2"/>
        <w:rPr>
          <w:lang w:val="en-US"/>
        </w:rPr>
      </w:pPr>
      <w:r w:rsidRPr="00DA00E4">
        <w:rPr>
          <w:lang w:val="en-US"/>
        </w:rPr>
        <w:t>Prof. Gabriele Deana</w:t>
      </w:r>
    </w:p>
    <w:p w14:paraId="6DE86AA4" w14:textId="77777777" w:rsidR="002F7365" w:rsidRPr="00514034" w:rsidRDefault="002F7365" w:rsidP="002F736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A77CC2E" w14:textId="77777777" w:rsidR="005D7E25" w:rsidRPr="002F7365" w:rsidRDefault="005D7E25" w:rsidP="005D7E25">
      <w:pPr>
        <w:spacing w:line="240" w:lineRule="exact"/>
        <w:ind w:right="458"/>
        <w:jc w:val="both"/>
        <w:rPr>
          <w:sz w:val="20"/>
          <w:szCs w:val="20"/>
          <w:lang w:val="en-US"/>
        </w:rPr>
      </w:pPr>
      <w:r w:rsidRPr="002F7365">
        <w:rPr>
          <w:sz w:val="20"/>
          <w:szCs w:val="20"/>
          <w:lang w:val="en-US"/>
        </w:rPr>
        <w:t>The course aims at clarifying how differences between regions and nations can be related to differences across firms and the strategies they apply, where strategies comprise plans for building up and maintaining capabilities to carry out innovation activit</w:t>
      </w:r>
      <w:r>
        <w:rPr>
          <w:sz w:val="20"/>
          <w:szCs w:val="20"/>
          <w:lang w:val="en-US"/>
        </w:rPr>
        <w:t>ies.</w:t>
      </w:r>
    </w:p>
    <w:p w14:paraId="60E10628" w14:textId="77777777" w:rsidR="005D7E25" w:rsidRPr="002F7365" w:rsidRDefault="005D7E25" w:rsidP="005D7E25">
      <w:pPr>
        <w:spacing w:line="240" w:lineRule="exact"/>
        <w:ind w:right="458"/>
        <w:jc w:val="both"/>
        <w:rPr>
          <w:sz w:val="20"/>
          <w:szCs w:val="20"/>
          <w:lang w:val="en-US"/>
        </w:rPr>
      </w:pPr>
      <w:r w:rsidRPr="002F7365">
        <w:rPr>
          <w:sz w:val="20"/>
          <w:szCs w:val="20"/>
          <w:lang w:val="en-US"/>
        </w:rPr>
        <w:t xml:space="preserve">As many companies in the advanced economies are facing maturity or limited growth in their mainstream businesses, leveraging competencies into new growth areas is becoming increasingly urgent. This course is about understanding how individual </w:t>
      </w:r>
      <w:proofErr w:type="gramStart"/>
      <w:r w:rsidRPr="002F7365">
        <w:rPr>
          <w:sz w:val="20"/>
          <w:szCs w:val="20"/>
          <w:lang w:val="en-US"/>
        </w:rPr>
        <w:t>firms</w:t>
      </w:r>
      <w:proofErr w:type="gramEnd"/>
      <w:r w:rsidRPr="002F7365">
        <w:rPr>
          <w:sz w:val="20"/>
          <w:szCs w:val="20"/>
          <w:lang w:val="en-US"/>
        </w:rPr>
        <w:t xml:space="preserve"> strategies map into macroeconomic outcomes and how institutions, policies, and market trends shape firms’ incentives and decisions.</w:t>
      </w:r>
    </w:p>
    <w:p w14:paraId="33B619B4" w14:textId="6B71A6C2" w:rsidR="005D7E25" w:rsidRPr="002F7365" w:rsidRDefault="005D7E25" w:rsidP="005D7E25">
      <w:pPr>
        <w:spacing w:line="240" w:lineRule="exact"/>
        <w:ind w:right="458"/>
        <w:jc w:val="both"/>
        <w:rPr>
          <w:sz w:val="20"/>
          <w:szCs w:val="20"/>
          <w:lang w:val="en-US"/>
        </w:rPr>
      </w:pPr>
      <w:r w:rsidRPr="002F7365">
        <w:rPr>
          <w:sz w:val="20"/>
          <w:szCs w:val="20"/>
          <w:lang w:val="en-US"/>
        </w:rPr>
        <w:t xml:space="preserve">These issues also extend the context to include the related role of trade flows, new patterns of location, </w:t>
      </w:r>
      <w:r w:rsidR="008D1ABB">
        <w:rPr>
          <w:sz w:val="20"/>
          <w:szCs w:val="20"/>
          <w:lang w:val="en-US"/>
        </w:rPr>
        <w:t>F</w:t>
      </w:r>
      <w:r w:rsidRPr="002F7365">
        <w:rPr>
          <w:sz w:val="20"/>
          <w:szCs w:val="20"/>
          <w:lang w:val="en-US"/>
        </w:rPr>
        <w:t xml:space="preserve">oreign </w:t>
      </w:r>
      <w:r w:rsidR="008D1ABB">
        <w:rPr>
          <w:sz w:val="20"/>
          <w:szCs w:val="20"/>
          <w:lang w:val="en-US"/>
        </w:rPr>
        <w:t>D</w:t>
      </w:r>
      <w:r w:rsidRPr="002F7365">
        <w:rPr>
          <w:sz w:val="20"/>
          <w:szCs w:val="20"/>
          <w:lang w:val="en-US"/>
        </w:rPr>
        <w:t xml:space="preserve">irect </w:t>
      </w:r>
      <w:r w:rsidR="008D1ABB">
        <w:rPr>
          <w:sz w:val="20"/>
          <w:szCs w:val="20"/>
          <w:lang w:val="en-US"/>
        </w:rPr>
        <w:t>I</w:t>
      </w:r>
      <w:r w:rsidRPr="002F7365">
        <w:rPr>
          <w:sz w:val="20"/>
          <w:szCs w:val="20"/>
          <w:lang w:val="en-US"/>
        </w:rPr>
        <w:t xml:space="preserve">nvestment (FDI) and </w:t>
      </w:r>
      <w:r w:rsidR="008D1ABB">
        <w:rPr>
          <w:sz w:val="20"/>
          <w:szCs w:val="20"/>
          <w:lang w:val="en-US"/>
        </w:rPr>
        <w:t>G</w:t>
      </w:r>
      <w:r w:rsidRPr="002F7365">
        <w:rPr>
          <w:sz w:val="20"/>
          <w:szCs w:val="20"/>
          <w:lang w:val="en-US"/>
        </w:rPr>
        <w:t xml:space="preserve">lobal </w:t>
      </w:r>
      <w:r w:rsidR="008D1ABB">
        <w:rPr>
          <w:sz w:val="20"/>
          <w:szCs w:val="20"/>
          <w:lang w:val="en-US"/>
        </w:rPr>
        <w:t>V</w:t>
      </w:r>
      <w:r w:rsidRPr="002F7365">
        <w:rPr>
          <w:sz w:val="20"/>
          <w:szCs w:val="20"/>
          <w:lang w:val="en-US"/>
        </w:rPr>
        <w:t xml:space="preserve">alue </w:t>
      </w:r>
      <w:r w:rsidR="008D1ABB">
        <w:rPr>
          <w:sz w:val="20"/>
          <w:szCs w:val="20"/>
          <w:lang w:val="en-US"/>
        </w:rPr>
        <w:t>C</w:t>
      </w:r>
      <w:r w:rsidRPr="002F7365">
        <w:rPr>
          <w:sz w:val="20"/>
          <w:szCs w:val="20"/>
          <w:lang w:val="en-US"/>
        </w:rPr>
        <w:t xml:space="preserve">hains (GVC). The course discusses how GVC firms, however few, are heavily engaged in R&amp;D activities, have a sophisticated human capital base, are able to support high unit </w:t>
      </w:r>
      <w:proofErr w:type="spellStart"/>
      <w:r w:rsidRPr="002F7365">
        <w:rPr>
          <w:sz w:val="20"/>
          <w:szCs w:val="20"/>
          <w:lang w:val="en-US"/>
        </w:rPr>
        <w:t>labour</w:t>
      </w:r>
      <w:proofErr w:type="spellEnd"/>
      <w:r w:rsidRPr="002F7365">
        <w:rPr>
          <w:sz w:val="20"/>
          <w:szCs w:val="20"/>
          <w:lang w:val="en-US"/>
        </w:rPr>
        <w:t xml:space="preserve"> costs, introduce more product innovations and display the highest productivity premia. These firms matter critically for the innovation performance of countries and sectors and substantially drive their value added creation and employment.</w:t>
      </w:r>
    </w:p>
    <w:p w14:paraId="6C04DAD1" w14:textId="2EC292A1" w:rsidR="005D7E25" w:rsidRPr="002F7365" w:rsidRDefault="005D7E25" w:rsidP="005D7E25">
      <w:pPr>
        <w:spacing w:line="240" w:lineRule="exact"/>
        <w:ind w:right="458"/>
        <w:jc w:val="both"/>
        <w:rPr>
          <w:sz w:val="20"/>
          <w:szCs w:val="20"/>
          <w:lang w:val="en-US"/>
        </w:rPr>
      </w:pPr>
      <w:r w:rsidRPr="002F7365">
        <w:rPr>
          <w:sz w:val="20"/>
          <w:szCs w:val="20"/>
          <w:lang w:val="en-US"/>
        </w:rPr>
        <w:t xml:space="preserve">The course further discusses how innovative and international firms make use of internal and external knowledge sources that are unevenly distributed across space. It provides tools to understand the diffusion patterns and welfare impact of ideas and technology, the role of knowledge flows, the role of social inefficiencies arising from knowledge externalities, and the gap between private and social welfare. </w:t>
      </w:r>
    </w:p>
    <w:p w14:paraId="114B6842" w14:textId="55AFAA9D" w:rsidR="005D7E25" w:rsidRPr="002F7365" w:rsidRDefault="005D7E25" w:rsidP="005D7E25">
      <w:pPr>
        <w:spacing w:line="240" w:lineRule="exact"/>
        <w:ind w:right="458"/>
        <w:jc w:val="both"/>
        <w:rPr>
          <w:sz w:val="20"/>
          <w:szCs w:val="20"/>
          <w:lang w:val="en-US"/>
        </w:rPr>
      </w:pPr>
      <w:r w:rsidRPr="002F7365">
        <w:rPr>
          <w:sz w:val="20"/>
          <w:szCs w:val="20"/>
          <w:lang w:val="en-US"/>
        </w:rPr>
        <w:t>The course will be hold by Prof. Deana Gabriele</w:t>
      </w:r>
      <w:r w:rsidR="00BD0881">
        <w:rPr>
          <w:sz w:val="20"/>
          <w:szCs w:val="20"/>
          <w:lang w:val="en-US"/>
        </w:rPr>
        <w:t>.</w:t>
      </w:r>
    </w:p>
    <w:p w14:paraId="14EB67D9" w14:textId="77777777" w:rsidR="005D7E25" w:rsidRPr="002F7365" w:rsidRDefault="005D7E25" w:rsidP="005D7E25">
      <w:pPr>
        <w:spacing w:before="120" w:line="240" w:lineRule="exact"/>
        <w:ind w:right="459"/>
        <w:jc w:val="both"/>
        <w:rPr>
          <w:sz w:val="20"/>
          <w:szCs w:val="20"/>
          <w:lang w:val="en-US"/>
        </w:rPr>
      </w:pPr>
      <w:r w:rsidRPr="002F7365">
        <w:rPr>
          <w:sz w:val="20"/>
          <w:szCs w:val="20"/>
          <w:lang w:val="en-US"/>
        </w:rPr>
        <w:t>Upon successful completion of the requirements for this course, students will be able to:</w:t>
      </w:r>
    </w:p>
    <w:p w14:paraId="25FBA854"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US"/>
        </w:rPr>
        <w:t xml:space="preserve">understand the relationship between individual </w:t>
      </w:r>
      <w:proofErr w:type="gramStart"/>
      <w:r w:rsidRPr="002F7365">
        <w:rPr>
          <w:sz w:val="20"/>
          <w:szCs w:val="20"/>
          <w:lang w:val="en-US"/>
        </w:rPr>
        <w:t>firms</w:t>
      </w:r>
      <w:proofErr w:type="gramEnd"/>
      <w:r w:rsidRPr="002F7365">
        <w:rPr>
          <w:sz w:val="20"/>
          <w:szCs w:val="20"/>
          <w:lang w:val="en-US"/>
        </w:rPr>
        <w:t xml:space="preserve"> strategies and macro-economic institutions and outcomes</w:t>
      </w:r>
      <w:r>
        <w:rPr>
          <w:sz w:val="20"/>
          <w:szCs w:val="20"/>
          <w:lang w:val="en-US"/>
        </w:rPr>
        <w:t>.</w:t>
      </w:r>
    </w:p>
    <w:p w14:paraId="427576B5"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GB"/>
        </w:rPr>
        <w:t>identify the link between FDI, growth and development and its effect on local productive capacity, especially through linkages between multinational enterprises and small and medium-sized enterprises</w:t>
      </w:r>
      <w:r>
        <w:rPr>
          <w:sz w:val="20"/>
          <w:szCs w:val="20"/>
          <w:lang w:val="en-GB"/>
        </w:rPr>
        <w:t>.</w:t>
      </w:r>
    </w:p>
    <w:p w14:paraId="2F57CF94"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GB"/>
        </w:rPr>
        <w:t>identify the main development challenges of global value chains and highlight effective investment strategies</w:t>
      </w:r>
      <w:r>
        <w:rPr>
          <w:sz w:val="20"/>
          <w:szCs w:val="20"/>
          <w:lang w:val="en-GB"/>
        </w:rPr>
        <w:t>.</w:t>
      </w:r>
    </w:p>
    <w:p w14:paraId="56C321BA"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US"/>
        </w:rPr>
        <w:lastRenderedPageBreak/>
        <w:t>understand how knowledge flows affect patterns of development and how the ability of firms to benefit from such flows affects their innovative capacity</w:t>
      </w:r>
      <w:r>
        <w:rPr>
          <w:sz w:val="20"/>
          <w:szCs w:val="20"/>
          <w:lang w:val="en-US"/>
        </w:rPr>
        <w:t>.</w:t>
      </w:r>
    </w:p>
    <w:p w14:paraId="16F1C8EB"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US"/>
        </w:rPr>
        <w:t>understand the role of financial frictions in shaping incentives and investment</w:t>
      </w:r>
      <w:r>
        <w:rPr>
          <w:sz w:val="20"/>
          <w:szCs w:val="20"/>
          <w:lang w:val="en-US"/>
        </w:rPr>
        <w:t>.</w:t>
      </w:r>
    </w:p>
    <w:p w14:paraId="54B5ABDF" w14:textId="77777777" w:rsidR="005D7E25" w:rsidRPr="002F7365" w:rsidRDefault="005D7E25" w:rsidP="005D7E25">
      <w:pPr>
        <w:numPr>
          <w:ilvl w:val="0"/>
          <w:numId w:val="1"/>
        </w:numPr>
        <w:spacing w:line="240" w:lineRule="exact"/>
        <w:ind w:left="284" w:right="458" w:hanging="284"/>
        <w:jc w:val="both"/>
        <w:rPr>
          <w:sz w:val="20"/>
          <w:szCs w:val="20"/>
          <w:lang w:val="en-US"/>
        </w:rPr>
      </w:pPr>
      <w:r w:rsidRPr="002F7365">
        <w:rPr>
          <w:sz w:val="20"/>
          <w:szCs w:val="20"/>
          <w:lang w:val="en-US"/>
        </w:rPr>
        <w:t>ability to apply knowledge and understanding acquired during the course to identify the innovation opportun</w:t>
      </w:r>
      <w:r>
        <w:rPr>
          <w:sz w:val="20"/>
          <w:szCs w:val="20"/>
          <w:lang w:val="en-US"/>
        </w:rPr>
        <w:t>ities.</w:t>
      </w:r>
    </w:p>
    <w:p w14:paraId="7B94DAD4" w14:textId="041E3C0D" w:rsidR="005D7E25" w:rsidRPr="008D1ABB" w:rsidRDefault="002F7365" w:rsidP="008D1ABB">
      <w:pPr>
        <w:spacing w:before="240" w:after="120" w:line="240" w:lineRule="exact"/>
        <w:rPr>
          <w:b/>
          <w:i/>
          <w:sz w:val="18"/>
          <w:lang w:val="en-US"/>
        </w:rPr>
      </w:pPr>
      <w:r w:rsidRPr="002F7365">
        <w:rPr>
          <w:b/>
          <w:i/>
          <w:sz w:val="18"/>
          <w:lang w:val="en-US"/>
        </w:rPr>
        <w:t>COURSE CONTENT</w:t>
      </w:r>
      <w:bookmarkStart w:id="0" w:name="_GoBack"/>
      <w:bookmarkEnd w:id="0"/>
    </w:p>
    <w:p w14:paraId="189BF62C"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(10 hours of lecturing) The economic framework and relations</w:t>
      </w:r>
      <w:r>
        <w:rPr>
          <w:sz w:val="20"/>
          <w:szCs w:val="20"/>
          <w:lang w:val="en-US"/>
        </w:rPr>
        <w:t>;</w:t>
      </w:r>
    </w:p>
    <w:p w14:paraId="323FB2E7" w14:textId="77777777"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 xml:space="preserve">(10 hours of lecturing) Understand the relationship between individual </w:t>
      </w:r>
      <w:proofErr w:type="gramStart"/>
      <w:r w:rsidRPr="002F7365">
        <w:rPr>
          <w:sz w:val="20"/>
          <w:szCs w:val="20"/>
          <w:lang w:val="en-US"/>
        </w:rPr>
        <w:t>firms</w:t>
      </w:r>
      <w:proofErr w:type="gramEnd"/>
      <w:r w:rsidRPr="002F7365">
        <w:rPr>
          <w:sz w:val="20"/>
          <w:szCs w:val="20"/>
          <w:lang w:val="en-US"/>
        </w:rPr>
        <w:t xml:space="preserve"> strategies and macro-economic institutions and outcomes</w:t>
      </w:r>
      <w:r>
        <w:rPr>
          <w:sz w:val="20"/>
          <w:szCs w:val="20"/>
          <w:lang w:val="en-US"/>
        </w:rPr>
        <w:t>;</w:t>
      </w:r>
    </w:p>
    <w:p w14:paraId="50BF153E" w14:textId="303B4508" w:rsidR="005D7E25" w:rsidRPr="00BD0881" w:rsidRDefault="005D7E25" w:rsidP="005D7E25">
      <w:pPr>
        <w:numPr>
          <w:ilvl w:val="0"/>
          <w:numId w:val="2"/>
        </w:numPr>
        <w:spacing w:line="240" w:lineRule="exact"/>
        <w:ind w:left="284" w:hanging="284"/>
        <w:jc w:val="both"/>
        <w:rPr>
          <w:sz w:val="20"/>
          <w:szCs w:val="20"/>
          <w:lang w:val="en-US"/>
        </w:rPr>
      </w:pPr>
      <w:r w:rsidRPr="002F7365">
        <w:rPr>
          <w:sz w:val="20"/>
          <w:szCs w:val="20"/>
          <w:lang w:val="en-US"/>
        </w:rPr>
        <w:t xml:space="preserve">(10 hours of lecturing) </w:t>
      </w:r>
      <w:r w:rsidRPr="002F7365">
        <w:rPr>
          <w:sz w:val="20"/>
          <w:szCs w:val="20"/>
          <w:lang w:val="en-GB"/>
        </w:rPr>
        <w:t>Identify the main development challenges of global value chains and highlight effective investment strategies</w:t>
      </w:r>
      <w:r>
        <w:rPr>
          <w:sz w:val="20"/>
          <w:szCs w:val="20"/>
          <w:lang w:val="en-GB"/>
        </w:rPr>
        <w:t>;</w:t>
      </w:r>
    </w:p>
    <w:p w14:paraId="6CD420AA" w14:textId="40685B29" w:rsidR="00BD0881" w:rsidRPr="002F7365" w:rsidRDefault="00BD0881" w:rsidP="005D7E25">
      <w:pPr>
        <w:numPr>
          <w:ilvl w:val="0"/>
          <w:numId w:val="2"/>
        </w:numPr>
        <w:spacing w:line="240" w:lineRule="exact"/>
        <w:ind w:left="284" w:hanging="284"/>
        <w:jc w:val="both"/>
        <w:rPr>
          <w:sz w:val="20"/>
          <w:szCs w:val="20"/>
          <w:lang w:val="en-US"/>
        </w:rPr>
      </w:pPr>
      <w:r w:rsidRPr="002F7365">
        <w:rPr>
          <w:sz w:val="20"/>
          <w:szCs w:val="20"/>
          <w:lang w:val="en-US"/>
        </w:rPr>
        <w:t xml:space="preserve">(10 hours of lecturing) </w:t>
      </w:r>
      <w:r w:rsidRPr="002F7365">
        <w:rPr>
          <w:sz w:val="20"/>
          <w:szCs w:val="20"/>
          <w:lang w:val="en-GB"/>
        </w:rPr>
        <w:t xml:space="preserve">Identify the main </w:t>
      </w:r>
      <w:r>
        <w:rPr>
          <w:sz w:val="20"/>
          <w:szCs w:val="20"/>
          <w:lang w:val="en-GB"/>
        </w:rPr>
        <w:t>drivers of innovation and its dimensions.</w:t>
      </w:r>
    </w:p>
    <w:p w14:paraId="4D9ED6BF" w14:textId="4F313B73" w:rsidR="005D7E25" w:rsidRPr="002F7365" w:rsidRDefault="005D7E25" w:rsidP="005D7E25">
      <w:pPr>
        <w:numPr>
          <w:ilvl w:val="0"/>
          <w:numId w:val="2"/>
        </w:numPr>
        <w:spacing w:line="240" w:lineRule="exact"/>
        <w:ind w:left="284" w:hanging="284"/>
        <w:jc w:val="both"/>
        <w:rPr>
          <w:sz w:val="20"/>
          <w:szCs w:val="20"/>
          <w:lang w:val="en-US"/>
        </w:rPr>
      </w:pPr>
      <w:r w:rsidRPr="002F7365">
        <w:rPr>
          <w:sz w:val="20"/>
          <w:szCs w:val="20"/>
          <w:lang w:val="en-US"/>
        </w:rPr>
        <w:t>(</w:t>
      </w:r>
      <w:r w:rsidR="00BD0881">
        <w:rPr>
          <w:sz w:val="20"/>
          <w:szCs w:val="20"/>
          <w:lang w:val="en-US"/>
        </w:rPr>
        <w:t>20</w:t>
      </w:r>
      <w:r w:rsidRPr="002F7365">
        <w:rPr>
          <w:sz w:val="20"/>
          <w:szCs w:val="20"/>
          <w:lang w:val="en-US"/>
        </w:rPr>
        <w:t xml:space="preserve"> hours of lecturing) Analyze and discuss case studies and work groups</w:t>
      </w:r>
      <w:r>
        <w:rPr>
          <w:sz w:val="20"/>
          <w:szCs w:val="20"/>
          <w:lang w:val="en-US"/>
        </w:rPr>
        <w:t>.</w:t>
      </w:r>
    </w:p>
    <w:p w14:paraId="023EB086" w14:textId="77777777" w:rsidR="002F7365" w:rsidRPr="002F7365" w:rsidRDefault="002F7365" w:rsidP="002F7365">
      <w:pPr>
        <w:spacing w:before="240" w:after="120"/>
        <w:rPr>
          <w:b/>
          <w:i/>
          <w:sz w:val="18"/>
          <w:lang w:val="en-US"/>
        </w:rPr>
      </w:pPr>
      <w:r w:rsidRPr="002F7365">
        <w:rPr>
          <w:b/>
          <w:i/>
          <w:sz w:val="18"/>
          <w:lang w:val="en-US"/>
        </w:rPr>
        <w:t>READING LIST</w:t>
      </w:r>
    </w:p>
    <w:p w14:paraId="18D94BED" w14:textId="1B6CC649" w:rsidR="00BD0881" w:rsidRDefault="00BD0881" w:rsidP="005D7E25">
      <w:pPr>
        <w:pStyle w:val="Testo1"/>
        <w:rPr>
          <w:lang w:val="en-US"/>
        </w:rPr>
      </w:pPr>
      <w:r>
        <w:rPr>
          <w:lang w:val="en-US"/>
        </w:rPr>
        <w:t>“The Global Risks Report 2020”, World Economic Forum</w:t>
      </w:r>
    </w:p>
    <w:p w14:paraId="36FFA9E6" w14:textId="171B9675" w:rsidR="00BD0881" w:rsidRDefault="00BD0881" w:rsidP="00BD0881">
      <w:pPr>
        <w:pStyle w:val="Testo1"/>
        <w:rPr>
          <w:lang w:val="en-US"/>
        </w:rPr>
      </w:pPr>
      <w:r>
        <w:rPr>
          <w:lang w:val="en-US"/>
        </w:rPr>
        <w:t>“Challenges and Oppportunities in the Post-Covid-19 World”, World Economic Forum</w:t>
      </w:r>
    </w:p>
    <w:p w14:paraId="1B341167" w14:textId="1F01885E" w:rsidR="005D7E25" w:rsidRDefault="005D7E25" w:rsidP="005D7E25">
      <w:pPr>
        <w:pStyle w:val="Testo1"/>
        <w:rPr>
          <w:lang w:val="en-US"/>
        </w:rPr>
      </w:pPr>
      <w:r>
        <w:rPr>
          <w:lang w:val="en-US"/>
        </w:rPr>
        <w:t>Thimann</w:t>
      </w:r>
      <w:r w:rsidRPr="00DA00E4">
        <w:rPr>
          <w:lang w:val="en-US"/>
        </w:rPr>
        <w:t xml:space="preserve"> </w:t>
      </w:r>
      <w:r>
        <w:rPr>
          <w:lang w:val="en-US"/>
        </w:rPr>
        <w:t xml:space="preserve">(2015), </w:t>
      </w:r>
      <w:r w:rsidRPr="00DA00E4">
        <w:rPr>
          <w:lang w:val="en-US"/>
        </w:rPr>
        <w:t>The Microeconomic Dimensions of the Eurozone C</w:t>
      </w:r>
      <w:r>
        <w:rPr>
          <w:lang w:val="en-US"/>
        </w:rPr>
        <w:t xml:space="preserve">risis and Why European Politics </w:t>
      </w:r>
      <w:r w:rsidRPr="00DA00E4">
        <w:rPr>
          <w:lang w:val="en-US"/>
        </w:rPr>
        <w:t>Cannot</w:t>
      </w:r>
      <w:r>
        <w:rPr>
          <w:lang w:val="en-US"/>
        </w:rPr>
        <w:t xml:space="preserve"> Solve Them</w:t>
      </w:r>
      <w:r w:rsidRPr="00DA00E4">
        <w:rPr>
          <w:lang w:val="en-US"/>
        </w:rPr>
        <w:t>, Jou</w:t>
      </w:r>
      <w:r>
        <w:rPr>
          <w:lang w:val="en-US"/>
        </w:rPr>
        <w:t xml:space="preserve">rnal of Economic Perspectives, </w:t>
      </w:r>
      <w:r w:rsidRPr="00DA00E4">
        <w:rPr>
          <w:lang w:val="en-US"/>
        </w:rPr>
        <w:t>Vol 29, #3, Summer 2015, p 142.</w:t>
      </w:r>
    </w:p>
    <w:p w14:paraId="5579EE39" w14:textId="102E79BE" w:rsidR="005D7E25" w:rsidRPr="00DA00E4" w:rsidRDefault="005D7E25" w:rsidP="005D7E25">
      <w:pPr>
        <w:pStyle w:val="Testo1"/>
        <w:rPr>
          <w:lang w:val="en-US"/>
        </w:rPr>
      </w:pPr>
      <w:r w:rsidRPr="00DA00E4">
        <w:rPr>
          <w:lang w:val="en-US"/>
        </w:rPr>
        <w:t xml:space="preserve">Other articles, </w:t>
      </w:r>
      <w:r w:rsidR="00BD0881">
        <w:rPr>
          <w:lang w:val="en-US"/>
        </w:rPr>
        <w:t xml:space="preserve">lesson </w:t>
      </w:r>
      <w:r w:rsidRPr="00DA00E4">
        <w:rPr>
          <w:lang w:val="en-US"/>
        </w:rPr>
        <w:t xml:space="preserve">slides and case studies will be published on Blackboard </w:t>
      </w:r>
    </w:p>
    <w:p w14:paraId="41B4F0F3" w14:textId="77777777" w:rsidR="005D7E25" w:rsidRPr="00DA00E4" w:rsidRDefault="005D7E25" w:rsidP="005D7E25">
      <w:pPr>
        <w:pStyle w:val="Testo1"/>
        <w:rPr>
          <w:i/>
          <w:lang w:val="en-US"/>
        </w:rPr>
      </w:pPr>
      <w:r w:rsidRPr="00DA00E4">
        <w:rPr>
          <w:i/>
          <w:lang w:val="en-US"/>
        </w:rPr>
        <w:t>Library Resources</w:t>
      </w:r>
    </w:p>
    <w:p w14:paraId="558C77DD" w14:textId="77777777" w:rsidR="005D7E25" w:rsidRPr="002F7365" w:rsidRDefault="005D7E25" w:rsidP="005D7E25">
      <w:pPr>
        <w:pStyle w:val="Testo1"/>
        <w:spacing w:before="0"/>
        <w:rPr>
          <w:lang w:val="en-US"/>
        </w:rPr>
      </w:pPr>
      <w:r w:rsidRPr="00014C52">
        <w:rPr>
          <w:lang w:val="en-US"/>
        </w:rPr>
        <w:t xml:space="preserve">The Università Cattolica del Sacro Cuore’s Library provides a range of learning resources including texts, journals, periodicals, magazines, and access to online databases and information services. It also offers a virtual library accessible via the University’s website. </w:t>
      </w:r>
    </w:p>
    <w:p w14:paraId="08DF2E1C" w14:textId="77777777" w:rsidR="005D7E25" w:rsidRPr="00DA00E4" w:rsidRDefault="005D7E25" w:rsidP="005D7E25">
      <w:pPr>
        <w:pStyle w:val="Testo1"/>
        <w:rPr>
          <w:i/>
          <w:lang w:val="en-US"/>
        </w:rPr>
      </w:pPr>
      <w:r w:rsidRPr="00DA00E4">
        <w:rPr>
          <w:i/>
          <w:lang w:val="en-US"/>
        </w:rPr>
        <w:t>Online Learning</w:t>
      </w:r>
    </w:p>
    <w:p w14:paraId="74F88CF5" w14:textId="77777777" w:rsidR="005D7E25" w:rsidRDefault="005D7E25" w:rsidP="005D7E25">
      <w:pPr>
        <w:pStyle w:val="Testo1"/>
        <w:spacing w:before="0"/>
        <w:rPr>
          <w:lang w:val="en-US"/>
        </w:rPr>
      </w:pPr>
      <w:r w:rsidRPr="00014C52">
        <w:rPr>
          <w:lang w:val="en-US"/>
        </w:rPr>
        <w:t>Icatt is the Università Cattolica del Sacro Cuore's online learning environment. It is used to support traditional face-to-face lectures, tutorials and workshops at the University. Icatt provides access to various features including announcements, course materials, discussion boards and assessments for each online course of study.</w:t>
      </w:r>
    </w:p>
    <w:p w14:paraId="2F2F2C0E" w14:textId="77777777" w:rsidR="002F7365" w:rsidRPr="00514034" w:rsidRDefault="002F7365" w:rsidP="002F7365">
      <w:pPr>
        <w:spacing w:before="240" w:after="120" w:line="220" w:lineRule="exact"/>
        <w:rPr>
          <w:b/>
          <w:i/>
          <w:sz w:val="18"/>
          <w:lang w:val="en-US"/>
        </w:rPr>
      </w:pPr>
      <w:r w:rsidRPr="00514034">
        <w:rPr>
          <w:b/>
          <w:i/>
          <w:sz w:val="18"/>
          <w:lang w:val="en-US"/>
        </w:rPr>
        <w:t>TEACHING METHOD</w:t>
      </w:r>
    </w:p>
    <w:p w14:paraId="640C4DEA" w14:textId="77777777" w:rsidR="005D7E25" w:rsidRDefault="005D7E25" w:rsidP="005D7E25">
      <w:pPr>
        <w:pStyle w:val="Testo2"/>
        <w:rPr>
          <w:lang w:val="en-US"/>
        </w:rPr>
      </w:pPr>
      <w:r w:rsidRPr="00014C52">
        <w:rPr>
          <w:lang w:val="en-US"/>
        </w:rPr>
        <w:t xml:space="preserve">The course uses </w:t>
      </w:r>
      <w:r>
        <w:rPr>
          <w:lang w:val="en-US"/>
        </w:rPr>
        <w:t xml:space="preserve">frontal lectures and student presentations to discuss </w:t>
      </w:r>
      <w:r w:rsidRPr="00014C52">
        <w:rPr>
          <w:lang w:val="en-US"/>
        </w:rPr>
        <w:t>readings, exercises, cases</w:t>
      </w:r>
      <w:r>
        <w:rPr>
          <w:lang w:val="en-US"/>
        </w:rPr>
        <w:t>.</w:t>
      </w:r>
    </w:p>
    <w:p w14:paraId="4715FA8D" w14:textId="3560E72A" w:rsidR="005D7E25" w:rsidRDefault="008D1ABB" w:rsidP="005D7E25">
      <w:pPr>
        <w:pStyle w:val="Testo2"/>
        <w:rPr>
          <w:lang w:val="en-US"/>
        </w:rPr>
      </w:pPr>
      <w:r>
        <w:rPr>
          <w:lang w:val="en-US"/>
        </w:rPr>
        <w:t>The teaching organization can be affected by the evolution of the Covid-19 pandemia .</w:t>
      </w:r>
    </w:p>
    <w:p w14:paraId="58834920" w14:textId="77777777" w:rsidR="002F7365" w:rsidRPr="00906645" w:rsidRDefault="002F7365" w:rsidP="002F7365">
      <w:pPr>
        <w:spacing w:before="240" w:after="120" w:line="220" w:lineRule="exact"/>
        <w:rPr>
          <w:b/>
          <w:i/>
          <w:sz w:val="18"/>
          <w:lang w:val="en-US"/>
        </w:rPr>
      </w:pPr>
      <w:r w:rsidRPr="00906645">
        <w:rPr>
          <w:b/>
          <w:i/>
          <w:sz w:val="18"/>
          <w:lang w:val="en-US"/>
        </w:rPr>
        <w:t>ASSESSMENT METHOD AND CRITERIA</w:t>
      </w:r>
    </w:p>
    <w:p w14:paraId="31AF3DDC" w14:textId="59036DA5" w:rsidR="005D7E25" w:rsidRPr="00D47189" w:rsidRDefault="005D7E25" w:rsidP="005D7E25">
      <w:pPr>
        <w:pStyle w:val="Testo2"/>
        <w:rPr>
          <w:lang w:val="en-US"/>
        </w:rPr>
      </w:pPr>
      <w:r w:rsidRPr="00D47189">
        <w:rPr>
          <w:lang w:val="en-US"/>
        </w:rPr>
        <w:t xml:space="preserve">Students will be evaluated on the basis on a written exam with open questions </w:t>
      </w:r>
      <w:r>
        <w:rPr>
          <w:lang w:val="en-US"/>
        </w:rPr>
        <w:t>and optional group work (up to 30% of the final grade).</w:t>
      </w:r>
    </w:p>
    <w:p w14:paraId="2AE4E602" w14:textId="77777777" w:rsidR="005D7E25" w:rsidRDefault="005D7E25" w:rsidP="005D7E25">
      <w:pPr>
        <w:pStyle w:val="Testo2"/>
        <w:rPr>
          <w:lang w:val="en-US"/>
        </w:rPr>
      </w:pPr>
      <w:r w:rsidRPr="00D47189">
        <w:rPr>
          <w:lang w:val="en-US"/>
        </w:rPr>
        <w:t>The answers to the questions, aimed at testing the understanding of fundamental theoretical issues, will be evaluated by looking at the degree of the candidate’s knowledge, as well as at her/his ability to convey key messages in conceptually consistent ways through a clear and precise exposition</w:t>
      </w:r>
      <w:r>
        <w:rPr>
          <w:lang w:val="en-US"/>
        </w:rPr>
        <w:t>.</w:t>
      </w:r>
    </w:p>
    <w:p w14:paraId="21C2C06D" w14:textId="2A58A056" w:rsidR="002F7365" w:rsidRDefault="005D7E25" w:rsidP="005D7E25">
      <w:pPr>
        <w:pStyle w:val="Testo2"/>
        <w:rPr>
          <w:lang w:val="en-US"/>
        </w:rPr>
      </w:pPr>
      <w:r>
        <w:rPr>
          <w:lang w:val="en-US"/>
        </w:rPr>
        <w:t>The goal of the work group is the applications of learned theoretical issues to a case study, and it will be evaluated by looking at the degree of the analysis and class presentation</w:t>
      </w:r>
      <w:r w:rsidR="002F7365">
        <w:rPr>
          <w:lang w:val="en-US"/>
        </w:rPr>
        <w:t>.</w:t>
      </w:r>
    </w:p>
    <w:p w14:paraId="475CDEA7" w14:textId="77777777" w:rsidR="002F7365" w:rsidRPr="00514034" w:rsidRDefault="002F7365" w:rsidP="002F7365">
      <w:pPr>
        <w:spacing w:before="240" w:after="120"/>
        <w:rPr>
          <w:b/>
          <w:i/>
          <w:sz w:val="18"/>
          <w:lang w:val="en-US"/>
        </w:rPr>
      </w:pPr>
      <w:r w:rsidRPr="00514034">
        <w:rPr>
          <w:b/>
          <w:i/>
          <w:sz w:val="18"/>
          <w:lang w:val="en-US"/>
        </w:rPr>
        <w:t>NOTES AND PREREQUISITES</w:t>
      </w:r>
    </w:p>
    <w:p w14:paraId="41F8C65F" w14:textId="77777777" w:rsidR="005D7E25" w:rsidRDefault="005D7E25" w:rsidP="005D7E25">
      <w:pPr>
        <w:pStyle w:val="Testo2"/>
        <w:rPr>
          <w:lang w:val="en-US"/>
        </w:rPr>
      </w:pPr>
      <w:r w:rsidRPr="0089301B">
        <w:rPr>
          <w:lang w:val="en-US"/>
        </w:rPr>
        <w:t xml:space="preserve">In order to successfully follow this course, students should be familiar with basic </w:t>
      </w:r>
      <w:r>
        <w:rPr>
          <w:lang w:val="en-US"/>
        </w:rPr>
        <w:t>Microeconomic, Macroeconomic and International Economics concepts.</w:t>
      </w:r>
    </w:p>
    <w:p w14:paraId="7FDF0CD0" w14:textId="77777777" w:rsidR="005D7E25" w:rsidRDefault="005D7E25" w:rsidP="005D7E25">
      <w:pPr>
        <w:pStyle w:val="Testo2"/>
        <w:rPr>
          <w:lang w:val="en-US"/>
        </w:rPr>
      </w:pPr>
      <w:r>
        <w:rPr>
          <w:lang w:val="en-US"/>
        </w:rPr>
        <w:t>Suggested lecture:</w:t>
      </w:r>
    </w:p>
    <w:p w14:paraId="2AFB93C1" w14:textId="77777777" w:rsidR="005D7E25" w:rsidRPr="00DA00E4" w:rsidRDefault="005D7E25" w:rsidP="005D7E25">
      <w:pPr>
        <w:pStyle w:val="Testo2"/>
        <w:rPr>
          <w:lang w:val="en-US"/>
        </w:rPr>
      </w:pPr>
      <w:r w:rsidRPr="00DA00E4">
        <w:rPr>
          <w:lang w:val="en-US"/>
        </w:rPr>
        <w:t>Krugman-Obsfeld-Melitz (2015), Intern</w:t>
      </w:r>
      <w:r>
        <w:rPr>
          <w:lang w:val="en-US"/>
        </w:rPr>
        <w:t>ational Trade.</w:t>
      </w:r>
    </w:p>
    <w:sectPr w:rsidR="005D7E25" w:rsidRPr="00DA00E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1F75"/>
    <w:multiLevelType w:val="hybridMultilevel"/>
    <w:tmpl w:val="93FA6554"/>
    <w:lvl w:ilvl="0" w:tplc="8244DA26">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 w15:restartNumberingAfterBreak="0">
    <w:nsid w:val="0BC81D1D"/>
    <w:multiLevelType w:val="hybridMultilevel"/>
    <w:tmpl w:val="CA769DCE"/>
    <w:lvl w:ilvl="0" w:tplc="5F6AE850">
      <w:numFmt w:val="bullet"/>
      <w:lvlText w:val="-"/>
      <w:lvlJc w:val="left"/>
      <w:pPr>
        <w:ind w:left="900" w:hanging="360"/>
      </w:pPr>
      <w:rPr>
        <w:rFonts w:ascii="Calibri" w:eastAsia="MS Mincho" w:hAnsi="Calibri" w:cs="Calibri"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65"/>
    <w:rsid w:val="00187B99"/>
    <w:rsid w:val="002014DD"/>
    <w:rsid w:val="002D5E17"/>
    <w:rsid w:val="002F7365"/>
    <w:rsid w:val="004576C4"/>
    <w:rsid w:val="004D1217"/>
    <w:rsid w:val="004D6008"/>
    <w:rsid w:val="00512283"/>
    <w:rsid w:val="005D7E25"/>
    <w:rsid w:val="00640794"/>
    <w:rsid w:val="006F1772"/>
    <w:rsid w:val="007F18F2"/>
    <w:rsid w:val="008942E7"/>
    <w:rsid w:val="008A1204"/>
    <w:rsid w:val="008D1ABB"/>
    <w:rsid w:val="008E39FA"/>
    <w:rsid w:val="00900CCA"/>
    <w:rsid w:val="00924B77"/>
    <w:rsid w:val="00940DA2"/>
    <w:rsid w:val="009E055C"/>
    <w:rsid w:val="00A74F6F"/>
    <w:rsid w:val="00AD7557"/>
    <w:rsid w:val="00B364FE"/>
    <w:rsid w:val="00B50C5D"/>
    <w:rsid w:val="00B51253"/>
    <w:rsid w:val="00B525CC"/>
    <w:rsid w:val="00BA4854"/>
    <w:rsid w:val="00BD0881"/>
    <w:rsid w:val="00D404F2"/>
    <w:rsid w:val="00DA00E4"/>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154A7"/>
  <w15:chartTrackingRefBased/>
  <w15:docId w15:val="{5C3B83E6-0F8C-4475-AA8B-B9F63C53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365"/>
    <w:rPr>
      <w:rFonts w:eastAsia="MS Mincho"/>
      <w:sz w:val="24"/>
      <w:szCs w:val="24"/>
      <w:lang w:eastAsia="ja-JP"/>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F7365"/>
    <w:pPr>
      <w:ind w:left="720"/>
      <w:contextualSpacing/>
    </w:pPr>
  </w:style>
  <w:style w:type="character" w:customStyle="1" w:styleId="object">
    <w:name w:val="object"/>
    <w:rsid w:val="002F7365"/>
  </w:style>
  <w:style w:type="character" w:styleId="Collegamentoipertestuale">
    <w:name w:val="Hyperlink"/>
    <w:basedOn w:val="Carpredefinitoparagrafo"/>
    <w:rsid w:val="00DA0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B1C4-77A1-48BC-8682-08D27582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765</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2021-05-12T07:25:00Z</dcterms:created>
  <dcterms:modified xsi:type="dcterms:W3CDTF">2021-05-12T10:00:00Z</dcterms:modified>
</cp:coreProperties>
</file>