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77777777" w:rsidR="003A74C4" w:rsidRDefault="003A74C4" w:rsidP="003A74C4">
      <w:pPr>
        <w:pStyle w:val="Titolo2"/>
      </w:pPr>
      <w:r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77777777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A34335">
        <w:rPr>
          <w:rFonts w:ascii="Times" w:hAnsi="Times"/>
          <w:szCs w:val="20"/>
        </w:rPr>
        <w:t>:</w:t>
      </w:r>
    </w:p>
    <w:p w14:paraId="7E5C6F26" w14:textId="2AB7015B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evoluzione.</w:t>
      </w:r>
      <w:r>
        <w:rPr>
          <w:rFonts w:ascii="Times" w:hAnsi="Times"/>
          <w:szCs w:val="20"/>
        </w:rPr>
        <w:t>;</w:t>
      </w:r>
    </w:p>
    <w:p w14:paraId="49BBCD02" w14:textId="05508B3D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b) nella seconda fase si approfondirà l’analisi dell’Ordine Liberale Liberale Internazionale;</w:t>
      </w:r>
    </w:p>
    <w:p w14:paraId="7DFA4420" w14:textId="4358F2CE" w:rsidR="00A34335" w:rsidRPr="00C16C13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c) la </w:t>
      </w:r>
      <w:r w:rsidR="00306911">
        <w:rPr>
          <w:rFonts w:ascii="Times" w:hAnsi="Times"/>
          <w:szCs w:val="20"/>
        </w:rPr>
        <w:t>fase</w:t>
      </w:r>
      <w:r>
        <w:rPr>
          <w:rFonts w:ascii="Times" w:hAnsi="Times"/>
          <w:szCs w:val="20"/>
        </w:rPr>
        <w:t xml:space="preserve"> conclusiva metterà a tema l’impatto della pandemia sulla politica internazionale.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onoscere le principali teorie delle Relazioni Internazionali</w:t>
      </w:r>
      <w:r>
        <w:t>.</w:t>
      </w:r>
    </w:p>
    <w:p w14:paraId="79E89CA8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omprendere il funzionamento del Sistema Politico Internazionale e le sue interazioni con il sistema economico e quello istituzionale</w:t>
      </w:r>
      <w:r>
        <w:t>.</w:t>
      </w:r>
    </w:p>
    <w:p w14:paraId="6BCED629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.</w:t>
      </w:r>
    </w:p>
    <w:p w14:paraId="78FAC9EB" w14:textId="77777777" w:rsidR="003A74C4" w:rsidRPr="00C16C13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77777777" w:rsidR="003A74C4" w:rsidRDefault="0064056E" w:rsidP="0064056E">
      <w:pPr>
        <w:ind w:left="284" w:hanging="284"/>
      </w:pPr>
      <w:r>
        <w:t>–</w:t>
      </w:r>
      <w:r>
        <w:tab/>
      </w:r>
      <w:r w:rsidR="003A74C4" w:rsidRPr="005305A9">
        <w:t xml:space="preserve">Al </w:t>
      </w:r>
      <w:r w:rsidR="003A74C4">
        <w:t>termine dell’insegnamento lo studente sarà in grado di:</w:t>
      </w:r>
    </w:p>
    <w:p w14:paraId="283A38B9" w14:textId="77777777" w:rsidR="003A74C4" w:rsidRDefault="0064056E" w:rsidP="0064056E">
      <w:pPr>
        <w:ind w:left="284" w:hanging="284"/>
      </w:pPr>
      <w:r>
        <w:t>–</w:t>
      </w:r>
      <w:r>
        <w:tab/>
        <w:t>R</w:t>
      </w:r>
      <w:r w:rsidR="003A74C4">
        <w:t>iconoscere e orientarsi attraverso le domande fondamentali intorno alle quali si articola la disciplina</w:t>
      </w:r>
      <w:r>
        <w:t>.</w:t>
      </w:r>
    </w:p>
    <w:p w14:paraId="5C9ED338" w14:textId="77777777" w:rsidR="003A74C4" w:rsidRDefault="0064056E" w:rsidP="0064056E">
      <w:pPr>
        <w:ind w:left="284" w:hanging="284"/>
      </w:pPr>
      <w:r>
        <w:t>–</w:t>
      </w:r>
      <w:r>
        <w:tab/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>
        <w:t>.</w:t>
      </w:r>
    </w:p>
    <w:p w14:paraId="5419E628" w14:textId="77777777" w:rsidR="003A74C4" w:rsidRDefault="0064056E" w:rsidP="0064056E">
      <w:pPr>
        <w:ind w:left="284" w:hanging="284"/>
      </w:pPr>
      <w:r>
        <w:t>–</w:t>
      </w:r>
      <w:r>
        <w:tab/>
        <w:t>U</w:t>
      </w:r>
      <w:r w:rsidR="003A74C4">
        <w:t>tilizzare le conoscenze storiche nella direzione della proficua interazione con le teorie delle Relazioni Internazionali</w:t>
      </w:r>
      <w:r>
        <w:t>.</w:t>
      </w:r>
    </w:p>
    <w:p w14:paraId="009F6C12" w14:textId="77777777" w:rsidR="003A74C4" w:rsidRDefault="0064056E" w:rsidP="0064056E">
      <w:pPr>
        <w:ind w:left="284" w:hanging="284"/>
      </w:pPr>
      <w:r>
        <w:t>–</w:t>
      </w:r>
      <w:r>
        <w:tab/>
        <w:t>T</w:t>
      </w:r>
      <w:r w:rsidR="003A74C4">
        <w:t>racciare collegamenti tra teoria e pratica, passato e presente, aspettative e realtà</w:t>
      </w:r>
      <w:r>
        <w:t>.</w:t>
      </w:r>
    </w:p>
    <w:p w14:paraId="7F01925A" w14:textId="77777777" w:rsidR="003A74C4" w:rsidRPr="005305A9" w:rsidRDefault="0064056E" w:rsidP="0064056E">
      <w:pPr>
        <w:ind w:left="284" w:hanging="284"/>
      </w:pPr>
      <w:r>
        <w:t>–</w:t>
      </w:r>
      <w:r>
        <w:tab/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04DFDE70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internazionale.</w:t>
      </w:r>
    </w:p>
    <w:p w14:paraId="0214B2C9" w14:textId="4BAA1FC0" w:rsidR="00ED0957" w:rsidRPr="00AD239A" w:rsidRDefault="00ED0957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diverse scuole di pensiero: Realismo, Liberalismo, Scuola </w:t>
      </w:r>
      <w:r w:rsidR="00BF2176">
        <w:rPr>
          <w:rFonts w:ascii="Times" w:hAnsi="Times"/>
          <w:szCs w:val="20"/>
        </w:rPr>
        <w:t>Inglese, Marxismo, Costruttivismo, Femminismo.</w:t>
      </w:r>
    </w:p>
    <w:p w14:paraId="539099E3" w14:textId="31CC6C8C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lastRenderedPageBreak/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analisi.</w:t>
      </w:r>
    </w:p>
    <w:p w14:paraId="21849755" w14:textId="0A6CF5BA" w:rsidR="003A74C4" w:rsidRPr="00AD239A" w:rsidRDefault="00BF2176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ab/>
      </w:r>
      <w:r w:rsidR="003A74C4" w:rsidRPr="00AD239A">
        <w:rPr>
          <w:rFonts w:ascii="Times" w:hAnsi="Times"/>
          <w:szCs w:val="20"/>
        </w:rPr>
        <w:t>Eq</w:t>
      </w:r>
      <w:r w:rsidR="003A74C4">
        <w:rPr>
          <w:rFonts w:ascii="Times" w:hAnsi="Times"/>
          <w:szCs w:val="20"/>
        </w:rPr>
        <w:t>uilibrio di potenza e stabilità.</w:t>
      </w:r>
    </w:p>
    <w:p w14:paraId="76AE58C4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Egemonia e ordine.</w:t>
      </w:r>
    </w:p>
    <w:p w14:paraId="19903C95" w14:textId="37A6961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  <w:r>
        <w:rPr>
          <w:rFonts w:ascii="Times" w:hAnsi="Times"/>
          <w:szCs w:val="20"/>
        </w:rPr>
        <w:t>.</w:t>
      </w:r>
    </w:p>
    <w:p w14:paraId="4D70F0D4" w14:textId="59456609" w:rsidR="003A74C4" w:rsidRPr="00AD239A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  <w:r>
        <w:rPr>
          <w:rFonts w:ascii="Times" w:hAnsi="Times"/>
          <w:szCs w:val="20"/>
        </w:rPr>
        <w:t>.</w:t>
      </w:r>
    </w:p>
    <w:p w14:paraId="00D3C08C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concetto d</w:t>
      </w:r>
      <w:r>
        <w:rPr>
          <w:rFonts w:ascii="Times" w:hAnsi="Times"/>
          <w:szCs w:val="20"/>
        </w:rPr>
        <w:t>i sicurezza e la sua evoluzione.</w:t>
      </w:r>
    </w:p>
    <w:p w14:paraId="568E71EE" w14:textId="12667569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Origini, crisi e prospettive del concetto di Ordine Liberale Internazionale</w:t>
      </w:r>
      <w:r>
        <w:rPr>
          <w:rFonts w:ascii="Times" w:hAnsi="Times"/>
          <w:szCs w:val="20"/>
        </w:rPr>
        <w:t>.</w:t>
      </w:r>
    </w:p>
    <w:p w14:paraId="31B5A4B5" w14:textId="612E0E6F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La politica internazionale dopo la pandemia</w:t>
      </w:r>
      <w:r w:rsidRPr="00AD239A">
        <w:rPr>
          <w:rFonts w:ascii="Times" w:hAnsi="Times"/>
          <w:szCs w:val="20"/>
        </w:rPr>
        <w:t>.</w:t>
      </w:r>
    </w:p>
    <w:p w14:paraId="2FF390AB" w14:textId="0A5B11AB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="0029708A">
        <w:rPr>
          <w:rStyle w:val="Rimandonotaapidipagina"/>
          <w:b/>
          <w:i/>
          <w:sz w:val="18"/>
        </w:rPr>
        <w:footnoteReference w:id="1"/>
      </w:r>
    </w:p>
    <w:p w14:paraId="2E01CB9C" w14:textId="3B448B30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ED0957">
        <w:rPr>
          <w:rFonts w:ascii="Times" w:hAnsi="Times"/>
          <w:noProof/>
          <w:sz w:val="18"/>
          <w:szCs w:val="20"/>
        </w:rPr>
        <w:t>1-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ED0957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64074EBF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Grieco – G.J. Ikenberry – 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>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Milano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r w:rsidR="0029708A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29708A" w:rsidRPr="0029708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C711D7" w14:textId="24A9B34E" w:rsidR="00ED0957" w:rsidRPr="00A01B94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A01B94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A01B94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A01B94">
        <w:rPr>
          <w:rFonts w:ascii="Times" w:hAnsi="Times"/>
          <w:i/>
          <w:noProof/>
          <w:spacing w:val="-5"/>
          <w:sz w:val="18"/>
          <w:szCs w:val="20"/>
        </w:rPr>
        <w:t xml:space="preserve">Titanic: naufragio e riscossa dell’orine liberale (titolo provisorio), </w:t>
      </w:r>
      <w:r w:rsidR="00A01B94" w:rsidRPr="00A01B94">
        <w:rPr>
          <w:rFonts w:ascii="Times" w:hAnsi="Times"/>
          <w:iCs/>
          <w:noProof/>
          <w:spacing w:val="-5"/>
          <w:sz w:val="18"/>
          <w:szCs w:val="20"/>
        </w:rPr>
        <w:t>Il Mulino, Bologna, in corso di pubblicazione.</w:t>
      </w:r>
    </w:p>
    <w:p w14:paraId="439EACA7" w14:textId="53D8BD4A" w:rsidR="00A96EAA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color w:val="0563C1" w:themeColor="hyperlink"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dell’ordine globale,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Vita e Pensiero, Milan</w:t>
      </w:r>
      <w:bookmarkStart w:id="0" w:name="_GoBack"/>
      <w:bookmarkEnd w:id="0"/>
      <w:r w:rsidRPr="00A96EAA">
        <w:rPr>
          <w:rFonts w:ascii="Times" w:hAnsi="Times"/>
          <w:noProof/>
          <w:spacing w:val="-5"/>
          <w:sz w:val="18"/>
          <w:szCs w:val="20"/>
        </w:rPr>
        <w:t>o, 2021.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  <w:r w:rsidR="0029708A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29708A" w:rsidRPr="0029708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36ECFE6" w14:textId="71CB944D" w:rsidR="00ED0957" w:rsidRDefault="00ED0957" w:rsidP="00A96EAA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Vulnerabili. Come la pandemia sta cambiando la politca e il mondo. La speranza oltre il rancore, 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Piemme, Milano, 2021</w:t>
      </w:r>
      <w:r w:rsidR="0029708A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1" w:history="1">
        <w:r w:rsidR="0029708A" w:rsidRPr="0029708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05BEBC06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>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65A8474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ED0957">
        <w:rPr>
          <w:rFonts w:ascii="Times" w:hAnsi="Times"/>
          <w:noProof/>
          <w:sz w:val="18"/>
          <w:szCs w:val="20"/>
        </w:rPr>
        <w:t>1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ED0957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 xml:space="preserve"> non sono previste prove intermedie (parziali). Tutti gli esami saranno scritti e verteranno sull’intero programma. La prova sarà composta da domande a risposta multipla, domande a risposta breve e domande di carattere più ampio. Ulteriori dettagli sul formato della prova saranno resi disponibili nel corso dell’anno.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3A6E014F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ASERI, (via San Vittore,18) negli orari indicati sulla pagina docente.</w:t>
      </w:r>
    </w:p>
    <w:sectPr w:rsidR="00A96EAA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3C225" w14:textId="77777777" w:rsidR="00A13E77" w:rsidRDefault="00A13E77" w:rsidP="003A74C4">
      <w:pPr>
        <w:spacing w:line="240" w:lineRule="auto"/>
      </w:pPr>
      <w:r>
        <w:separator/>
      </w:r>
    </w:p>
  </w:endnote>
  <w:endnote w:type="continuationSeparator" w:id="0">
    <w:p w14:paraId="5951BE09" w14:textId="77777777" w:rsidR="00A13E77" w:rsidRDefault="00A13E77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9C9B" w14:textId="77777777" w:rsidR="00A13E77" w:rsidRDefault="00A13E77" w:rsidP="003A74C4">
      <w:pPr>
        <w:spacing w:line="240" w:lineRule="auto"/>
      </w:pPr>
      <w:r>
        <w:separator/>
      </w:r>
    </w:p>
  </w:footnote>
  <w:footnote w:type="continuationSeparator" w:id="0">
    <w:p w14:paraId="05484899" w14:textId="77777777" w:rsidR="00A13E77" w:rsidRDefault="00A13E77" w:rsidP="003A74C4">
      <w:pPr>
        <w:spacing w:line="240" w:lineRule="auto"/>
      </w:pPr>
      <w:r>
        <w:continuationSeparator/>
      </w:r>
    </w:p>
  </w:footnote>
  <w:footnote w:id="1">
    <w:p w14:paraId="62C18C10" w14:textId="438CCE94" w:rsidR="0029708A" w:rsidRDefault="002970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4"/>
    <w:rsid w:val="000C6747"/>
    <w:rsid w:val="0015604F"/>
    <w:rsid w:val="0018013C"/>
    <w:rsid w:val="00187B99"/>
    <w:rsid w:val="001D787C"/>
    <w:rsid w:val="002014DD"/>
    <w:rsid w:val="00250DD1"/>
    <w:rsid w:val="00290F30"/>
    <w:rsid w:val="0029708A"/>
    <w:rsid w:val="002D5E17"/>
    <w:rsid w:val="002E3775"/>
    <w:rsid w:val="00306911"/>
    <w:rsid w:val="003A74C4"/>
    <w:rsid w:val="003B35AF"/>
    <w:rsid w:val="004D1217"/>
    <w:rsid w:val="004D6008"/>
    <w:rsid w:val="005B0440"/>
    <w:rsid w:val="0064056E"/>
    <w:rsid w:val="00640794"/>
    <w:rsid w:val="006F1772"/>
    <w:rsid w:val="00707FE3"/>
    <w:rsid w:val="008370CA"/>
    <w:rsid w:val="008942E7"/>
    <w:rsid w:val="008A1204"/>
    <w:rsid w:val="00900CCA"/>
    <w:rsid w:val="00907777"/>
    <w:rsid w:val="00924B77"/>
    <w:rsid w:val="00940DA2"/>
    <w:rsid w:val="009A5B8E"/>
    <w:rsid w:val="009E055C"/>
    <w:rsid w:val="00A01B94"/>
    <w:rsid w:val="00A13E77"/>
    <w:rsid w:val="00A34335"/>
    <w:rsid w:val="00A72E77"/>
    <w:rsid w:val="00A74F6F"/>
    <w:rsid w:val="00A96EAA"/>
    <w:rsid w:val="00AD7557"/>
    <w:rsid w:val="00B50C5D"/>
    <w:rsid w:val="00B51253"/>
    <w:rsid w:val="00B525CC"/>
    <w:rsid w:val="00B56C20"/>
    <w:rsid w:val="00BF2176"/>
    <w:rsid w:val="00CC4D4B"/>
    <w:rsid w:val="00D12624"/>
    <w:rsid w:val="00D404F2"/>
    <w:rsid w:val="00D67C09"/>
    <w:rsid w:val="00E607E6"/>
    <w:rsid w:val="00ED0957"/>
    <w:rsid w:val="00EE07C3"/>
    <w:rsid w:val="00EE6B24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ittorio-emanuele-parsi/vulnerabili-come-la-pandemia-sta-cambiando-la-politica-e-il-mondo-la-speranza-oltre-il-rancore-9788856679694-6944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D18D-0E8D-4E31-8402-1D14A0B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581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2021-05-26T08:28:00Z</dcterms:created>
  <dcterms:modified xsi:type="dcterms:W3CDTF">2021-07-07T07:10:00Z</dcterms:modified>
</cp:coreProperties>
</file>