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4E" w:rsidRPr="00F74EDF" w:rsidRDefault="003C1D4E" w:rsidP="003C1D4E">
      <w:pPr>
        <w:tabs>
          <w:tab w:val="clear" w:pos="284"/>
        </w:tabs>
        <w:spacing w:before="480"/>
        <w:ind w:left="284" w:hanging="284"/>
        <w:jc w:val="left"/>
        <w:rPr>
          <w:rFonts w:ascii="Times" w:hAnsi="Times"/>
          <w:b/>
          <w:noProof/>
          <w:szCs w:val="20"/>
        </w:rPr>
      </w:pPr>
      <w:r w:rsidRPr="00F74EDF">
        <w:rPr>
          <w:rFonts w:ascii="Times" w:hAnsi="Times"/>
          <w:b/>
          <w:noProof/>
          <w:szCs w:val="20"/>
        </w:rPr>
        <w:t>Modelli applicati all’analisi criminale</w:t>
      </w:r>
    </w:p>
    <w:p w:rsidR="003C1D4E" w:rsidRPr="00F74EDF" w:rsidRDefault="003C1D4E" w:rsidP="003C1D4E">
      <w:pPr>
        <w:tabs>
          <w:tab w:val="clear" w:pos="284"/>
        </w:tabs>
        <w:jc w:val="left"/>
        <w:rPr>
          <w:smallCaps/>
          <w:noProof/>
          <w:sz w:val="18"/>
          <w:szCs w:val="18"/>
        </w:rPr>
      </w:pPr>
      <w:r w:rsidRPr="00F74EDF">
        <w:rPr>
          <w:smallCaps/>
          <w:noProof/>
          <w:sz w:val="18"/>
          <w:szCs w:val="18"/>
        </w:rPr>
        <w:t>Prof. Serena Favarin; Prof. Francesco Calderoni</w:t>
      </w:r>
    </w:p>
    <w:p w:rsidR="003C1D4E" w:rsidRPr="00F74EDF" w:rsidRDefault="003C1D4E" w:rsidP="003C1D4E">
      <w:pPr>
        <w:tabs>
          <w:tab w:val="clear" w:pos="284"/>
        </w:tabs>
        <w:spacing w:before="240" w:after="120"/>
        <w:jc w:val="left"/>
        <w:outlineLvl w:val="0"/>
        <w:rPr>
          <w:noProof/>
          <w:sz w:val="18"/>
          <w:szCs w:val="18"/>
        </w:rPr>
      </w:pPr>
      <w:r w:rsidRPr="00F74EDF">
        <w:rPr>
          <w:smallCaps/>
          <w:noProof/>
          <w:sz w:val="18"/>
          <w:szCs w:val="18"/>
        </w:rPr>
        <w:t>I Modulo</w:t>
      </w:r>
      <w:r w:rsidRPr="00F74EDF">
        <w:rPr>
          <w:noProof/>
          <w:sz w:val="18"/>
          <w:szCs w:val="18"/>
        </w:rPr>
        <w:t xml:space="preserve">: </w:t>
      </w:r>
      <w:r w:rsidRPr="00F74EDF">
        <w:rPr>
          <w:i/>
          <w:noProof/>
          <w:szCs w:val="20"/>
        </w:rPr>
        <w:t xml:space="preserve">Inferential analysis of crime </w:t>
      </w:r>
      <w:r w:rsidRPr="00F74EDF">
        <w:rPr>
          <w:noProof/>
          <w:szCs w:val="20"/>
        </w:rPr>
        <w:t>(Prof. Serena Favarin)</w:t>
      </w:r>
    </w:p>
    <w:p w:rsidR="002D5E17" w:rsidRDefault="003C1D4E" w:rsidP="003C1D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C1D4E" w:rsidRPr="00F74EDF" w:rsidRDefault="003C1D4E" w:rsidP="003C1D4E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Il corso ha</w:t>
      </w:r>
      <w:r w:rsidR="00AE43D7">
        <w:rPr>
          <w:rFonts w:eastAsia="MS Mincho"/>
        </w:rPr>
        <w:t xml:space="preserve"> l’obiettivo di esaminare le </w:t>
      </w:r>
      <w:r>
        <w:rPr>
          <w:rFonts w:eastAsia="MS Mincho"/>
        </w:rPr>
        <w:t>determinanti di alcuni fenomeni criminali complessi e di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 xml:space="preserve">fornire gli strumenti necessari per </w:t>
      </w:r>
      <w:r w:rsidRPr="00F74EDF">
        <w:rPr>
          <w:rFonts w:eastAsia="MS Mincho"/>
        </w:rPr>
        <w:t xml:space="preserve">saper costruire ed interpretare un’analisi </w:t>
      </w:r>
      <w:r>
        <w:rPr>
          <w:rFonts w:eastAsia="MS Mincho"/>
        </w:rPr>
        <w:t>empirico-</w:t>
      </w:r>
      <w:r w:rsidRPr="00F74EDF">
        <w:rPr>
          <w:rFonts w:eastAsia="MS Mincho"/>
        </w:rPr>
        <w:t xml:space="preserve">quantitativa in ambito criminologico. </w:t>
      </w:r>
      <w:r>
        <w:rPr>
          <w:rFonts w:eastAsia="MS Mincho"/>
        </w:rPr>
        <w:t>Al termine del corso, gli studenti a) sapranno formulare delle domande di ricerca e delle ipotesi, b)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>avranno acquisito conoscenze sui</w:t>
      </w:r>
      <w:r w:rsidRPr="00F74EDF">
        <w:rPr>
          <w:rFonts w:eastAsia="MS Mincho"/>
        </w:rPr>
        <w:t xml:space="preserve"> fattori causali </w:t>
      </w:r>
      <w:r>
        <w:rPr>
          <w:rFonts w:eastAsia="MS Mincho"/>
        </w:rPr>
        <w:t>di alcuni tipi di criminalità, c) avranno imparato a produrre un’analisi e</w:t>
      </w:r>
      <w:r w:rsidR="003E1960">
        <w:rPr>
          <w:rFonts w:eastAsia="MS Mincho"/>
        </w:rPr>
        <w:t>/o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>ad analizzare criticamente la letteratura (dati, metodi, limiti)</w:t>
      </w:r>
      <w:r w:rsidRPr="00F74EDF">
        <w:rPr>
          <w:rFonts w:eastAsia="MS Mincho"/>
        </w:rPr>
        <w:t>. L’approccio è di tipo laboratoriale e si richiederà la partecipazione degli studenti a</w:t>
      </w:r>
      <w:r>
        <w:rPr>
          <w:rFonts w:eastAsia="MS Mincho"/>
        </w:rPr>
        <w:t>d esercitazioni e ad un lavoro di gruppo da presentare in classe</w:t>
      </w:r>
      <w:r w:rsidRPr="00F74EDF">
        <w:rPr>
          <w:rFonts w:eastAsia="MS Mincho"/>
        </w:rPr>
        <w:t>.</w:t>
      </w:r>
    </w:p>
    <w:p w:rsidR="003C1D4E" w:rsidRDefault="003C1D4E" w:rsidP="003C1D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C1D4E" w:rsidRPr="00F74EDF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1.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Introduzio</w:t>
      </w:r>
      <w:r>
        <w:rPr>
          <w:rFonts w:eastAsia="MS Mincho"/>
          <w:szCs w:val="20"/>
        </w:rPr>
        <w:t>ne al modulo e alla valutazione.</w:t>
      </w:r>
    </w:p>
    <w:p w:rsidR="003C1D4E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2.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 xml:space="preserve">Nozioni di base su come </w:t>
      </w:r>
      <w:r>
        <w:rPr>
          <w:rFonts w:eastAsia="MS Mincho"/>
          <w:szCs w:val="20"/>
        </w:rPr>
        <w:t xml:space="preserve">identificare una domanda della ricerca, </w:t>
      </w:r>
      <w:r w:rsidRPr="00F74EDF">
        <w:rPr>
          <w:rFonts w:eastAsia="MS Mincho"/>
          <w:szCs w:val="20"/>
        </w:rPr>
        <w:t>costruire un’</w:t>
      </w:r>
      <w:r>
        <w:rPr>
          <w:rFonts w:eastAsia="MS Mincho"/>
          <w:szCs w:val="20"/>
        </w:rPr>
        <w:t>ipotesi e testarla.</w:t>
      </w:r>
    </w:p>
    <w:p w:rsidR="003C1D4E" w:rsidRPr="00F74EDF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3.</w:t>
      </w:r>
      <w:r>
        <w:rPr>
          <w:rFonts w:eastAsia="MS Mincho"/>
          <w:szCs w:val="20"/>
        </w:rPr>
        <w:tab/>
        <w:t>Individuare le determinanti di alcuni tipi di criminalità.</w:t>
      </w:r>
    </w:p>
    <w:p w:rsidR="003C1D4E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4.</w:t>
      </w:r>
      <w:r>
        <w:rPr>
          <w:rFonts w:eastAsia="MS Mincho"/>
          <w:szCs w:val="20"/>
        </w:rPr>
        <w:tab/>
        <w:t>A</w:t>
      </w:r>
      <w:r w:rsidRPr="00F74EDF">
        <w:rPr>
          <w:rFonts w:eastAsia="MS Mincho"/>
          <w:szCs w:val="20"/>
        </w:rPr>
        <w:t xml:space="preserve">nalizzare </w:t>
      </w:r>
      <w:r>
        <w:rPr>
          <w:rFonts w:eastAsia="MS Mincho"/>
          <w:szCs w:val="20"/>
        </w:rPr>
        <w:t xml:space="preserve">le metodologie che sono state utilizzate per studiare </w:t>
      </w:r>
      <w:r w:rsidRPr="00F74EDF">
        <w:rPr>
          <w:rFonts w:eastAsia="MS Mincho"/>
          <w:szCs w:val="20"/>
        </w:rPr>
        <w:t>un determinato fenomeno sulla base d</w:t>
      </w:r>
      <w:r>
        <w:rPr>
          <w:rFonts w:eastAsia="MS Mincho"/>
          <w:szCs w:val="20"/>
        </w:rPr>
        <w:t>ell’ipotesi di partenza e della disponibilità dei dati.</w:t>
      </w:r>
    </w:p>
    <w:p w:rsidR="003C1D4E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5.</w:t>
      </w:r>
      <w:r>
        <w:rPr>
          <w:rFonts w:eastAsia="MS Mincho"/>
          <w:szCs w:val="20"/>
        </w:rPr>
        <w:tab/>
        <w:t>Identificare punti di forza e di debolezza di un paper scientifico analizzando problema della ricerca, metodologia e dati.</w:t>
      </w:r>
    </w:p>
    <w:p w:rsidR="003C1D4E" w:rsidRDefault="00AE43D7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6</w:t>
      </w:r>
      <w:r w:rsidR="003C1D4E" w:rsidRPr="00F74EDF">
        <w:rPr>
          <w:rFonts w:eastAsia="MS Mincho"/>
          <w:szCs w:val="20"/>
        </w:rPr>
        <w:t>.</w:t>
      </w:r>
      <w:r w:rsidR="003C1D4E">
        <w:rPr>
          <w:rFonts w:eastAsia="MS Mincho"/>
          <w:szCs w:val="20"/>
        </w:rPr>
        <w:tab/>
      </w:r>
      <w:r w:rsidR="003C1D4E" w:rsidRPr="00F74EDF">
        <w:rPr>
          <w:rFonts w:eastAsia="MS Mincho"/>
          <w:szCs w:val="20"/>
        </w:rPr>
        <w:t xml:space="preserve">Come sono </w:t>
      </w:r>
      <w:r w:rsidR="003C1D4E">
        <w:rPr>
          <w:rFonts w:eastAsia="MS Mincho"/>
          <w:szCs w:val="20"/>
        </w:rPr>
        <w:t xml:space="preserve">state </w:t>
      </w:r>
      <w:r w:rsidR="003C1D4E" w:rsidRPr="00F74EDF">
        <w:rPr>
          <w:rFonts w:eastAsia="MS Mincho"/>
          <w:szCs w:val="20"/>
        </w:rPr>
        <w:t>testate le ipotesi in letteratura? Quali sono i fattori che sono stati presi in esame?</w:t>
      </w:r>
      <w:r w:rsidR="003C1D4E">
        <w:rPr>
          <w:rFonts w:eastAsia="MS Mincho"/>
          <w:szCs w:val="20"/>
        </w:rPr>
        <w:t xml:space="preserve"> </w:t>
      </w:r>
      <w:r w:rsidR="003C1D4E" w:rsidRPr="00F74EDF">
        <w:rPr>
          <w:rFonts w:eastAsia="MS Mincho"/>
          <w:szCs w:val="20"/>
        </w:rPr>
        <w:t>Analisi di diversi paper che verranno esposti dagli studenti in classe dopo un lavoro di gruppo fatto su ciascun paper preso in esame.</w:t>
      </w:r>
    </w:p>
    <w:p w:rsidR="003C1D4E" w:rsidRPr="00F74EDF" w:rsidRDefault="00AE43D7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7</w:t>
      </w:r>
      <w:r w:rsidR="003C1D4E">
        <w:rPr>
          <w:rFonts w:eastAsia="MS Mincho"/>
          <w:szCs w:val="20"/>
        </w:rPr>
        <w:t>.</w:t>
      </w:r>
      <w:r w:rsidR="003C1D4E">
        <w:rPr>
          <w:rFonts w:eastAsia="MS Mincho"/>
          <w:szCs w:val="20"/>
        </w:rPr>
        <w:tab/>
        <w:t>Come posso testare una mia ipotesi? Come posso rispondere ad una mia domanda di ricerca sulla base dei dati disponibili?</w:t>
      </w:r>
    </w:p>
    <w:p w:rsidR="003C1D4E" w:rsidRPr="00074A22" w:rsidRDefault="003C1D4E" w:rsidP="003C1D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:rsidR="003C1D4E" w:rsidRDefault="003C1D4E" w:rsidP="003C1D4E">
      <w:pPr>
        <w:pStyle w:val="Testo1"/>
      </w:pPr>
      <w:r w:rsidRPr="003E0F9E">
        <w:t>La bibliografia di rife</w:t>
      </w:r>
      <w:r>
        <w:t xml:space="preserve">rimento è costituita da saggi </w:t>
      </w:r>
      <w:r w:rsidRPr="003E0F9E">
        <w:t xml:space="preserve">in lingua inglese ed è aggiornata di anno in anno. La bibliografia aggiornata sarà </w:t>
      </w:r>
      <w:r w:rsidR="00D56482">
        <w:t xml:space="preserve">fornità a inizio corso tramite </w:t>
      </w:r>
      <w:r w:rsidR="007820C2" w:rsidRPr="00F74EDF">
        <w:rPr>
          <w:i/>
          <w:szCs w:val="18"/>
        </w:rPr>
        <w:t>Blackboard</w:t>
      </w:r>
      <w:r w:rsidRPr="003E0F9E">
        <w:t>. A mero titolo informativo si riport</w:t>
      </w:r>
      <w:r w:rsidR="00EB5710">
        <w:t xml:space="preserve">a </w:t>
      </w:r>
      <w:r w:rsidR="00282502">
        <w:t>la bibliografia per l’a.a. 2020-</w:t>
      </w:r>
      <w:r w:rsidR="00EB5710">
        <w:t>2021</w:t>
      </w:r>
      <w:r w:rsidRPr="003E0F9E">
        <w:t>:</w:t>
      </w:r>
    </w:p>
    <w:p w:rsidR="003C1D4E" w:rsidRPr="003C1D4E" w:rsidRDefault="00322552" w:rsidP="003C1D4E">
      <w:pPr>
        <w:pStyle w:val="Testo1"/>
        <w:spacing w:before="0"/>
        <w:rPr>
          <w:i/>
        </w:rPr>
      </w:pPr>
      <w:r>
        <w:rPr>
          <w:i/>
        </w:rPr>
        <w:t>Studenti che frequentano l’80% delle lezioni e partecipano al lavoro di gruppo</w:t>
      </w:r>
      <w:r w:rsidR="003C1D4E" w:rsidRPr="003C1D4E">
        <w:rPr>
          <w:i/>
        </w:rPr>
        <w:t>:</w:t>
      </w:r>
    </w:p>
    <w:p w:rsidR="003C1D4E" w:rsidRPr="008B1C96" w:rsidRDefault="003C1D4E" w:rsidP="003C1D4E">
      <w:pPr>
        <w:pStyle w:val="Testo1"/>
        <w:spacing w:before="0"/>
      </w:pPr>
      <w:r w:rsidRPr="003C1D4E">
        <w:t>•</w:t>
      </w:r>
      <w:r w:rsidRPr="003C1D4E">
        <w:tab/>
      </w:r>
      <w:r w:rsidRPr="008B1C96">
        <w:t>Appunti e slide presentate a lezione.</w:t>
      </w:r>
    </w:p>
    <w:p w:rsidR="003E1960" w:rsidRPr="003E1960" w:rsidRDefault="003E1960" w:rsidP="003E1960">
      <w:pPr>
        <w:rPr>
          <w:sz w:val="18"/>
          <w:szCs w:val="18"/>
          <w:u w:val="single"/>
          <w:lang w:val="en-GB"/>
        </w:rPr>
      </w:pPr>
      <w:r w:rsidRPr="003E1960">
        <w:rPr>
          <w:sz w:val="18"/>
          <w:szCs w:val="18"/>
          <w:u w:val="single"/>
          <w:lang w:val="en-GB"/>
        </w:rPr>
        <w:t xml:space="preserve">Homicides and violent crimes 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 xml:space="preserve">Trent C. L.S. and Pridemore A.W. (2012) “A Review of the Cross-National Empirical Literature on Social Structure and Homicide”, in Liem M.C.A.  and Pridemore W.A.  (eds.), </w:t>
      </w:r>
      <w:r w:rsidRPr="003E1960">
        <w:rPr>
          <w:rFonts w:ascii="Times New Roman" w:hAnsi="Times New Roman"/>
          <w:i/>
          <w:sz w:val="18"/>
          <w:szCs w:val="18"/>
          <w:lang w:val="en-GB"/>
        </w:rPr>
        <w:t>Handbook of European Homicide Research: Patterns, Explanations, and Country Studies</w:t>
      </w:r>
      <w:r w:rsidRPr="003E1960">
        <w:rPr>
          <w:rFonts w:ascii="Times New Roman" w:hAnsi="Times New Roman"/>
          <w:sz w:val="18"/>
          <w:szCs w:val="18"/>
          <w:lang w:val="en-GB"/>
        </w:rPr>
        <w:t>, Springer.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Pratt, Travis C., and Timothy W. Godsey (2003). ‘Social Support, Inequality, and Homicide: A Cross-National Test of an Integrated Theoretical Model*’. Criminology 41 (3): 611–44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3E1960">
        <w:rPr>
          <w:rFonts w:ascii="Times New Roman" w:hAnsi="Times New Roman"/>
          <w:sz w:val="18"/>
          <w:szCs w:val="18"/>
        </w:rPr>
        <w:t xml:space="preserve">Dugato M., Calderoni F., and Berlusconi G. (2017). </w:t>
      </w:r>
      <w:r w:rsidRPr="003E1960">
        <w:rPr>
          <w:rFonts w:ascii="Times New Roman" w:hAnsi="Times New Roman"/>
          <w:sz w:val="18"/>
          <w:szCs w:val="18"/>
          <w:lang w:val="en-US"/>
        </w:rPr>
        <w:t xml:space="preserve">‘Forecasting Organized Crime Homicides: Risk Terrain Modeling of Camorra Violence in Naples, Italy”. </w:t>
      </w:r>
      <w:r w:rsidRPr="003E1960">
        <w:rPr>
          <w:rFonts w:ascii="Times New Roman" w:hAnsi="Times New Roman"/>
          <w:sz w:val="18"/>
          <w:szCs w:val="18"/>
        </w:rPr>
        <w:t>Journal of Interpersonal Violence, DOI: 10.1177/0886260517712275.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/>
          <w:b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Braga A., Papachristos A. V. and Hureau D. M.  (2010). ‘The Concentration and Stability of Gun Violence at Micro Places in Boston, 1980–2008’. Journal of Quantitative Criminology 26 (1):33–53.</w:t>
      </w:r>
    </w:p>
    <w:p w:rsidR="003E1960" w:rsidRPr="003E1960" w:rsidRDefault="003E1960" w:rsidP="003E1960">
      <w:pPr>
        <w:rPr>
          <w:sz w:val="18"/>
          <w:szCs w:val="18"/>
          <w:u w:val="single"/>
          <w:lang w:val="en-GB"/>
        </w:rPr>
      </w:pPr>
      <w:r w:rsidRPr="003E1960">
        <w:rPr>
          <w:sz w:val="18"/>
          <w:szCs w:val="18"/>
          <w:u w:val="single"/>
          <w:lang w:val="en-GB"/>
        </w:rPr>
        <w:t>Mafias and organized crimes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</w:rPr>
        <w:t xml:space="preserve">Moro, Francesco N., and Salvatore Sberna (2017). </w:t>
      </w:r>
      <w:r w:rsidRPr="003E1960">
        <w:rPr>
          <w:rFonts w:ascii="Times New Roman" w:hAnsi="Times New Roman"/>
          <w:sz w:val="18"/>
          <w:szCs w:val="18"/>
          <w:lang w:val="en-GB"/>
        </w:rPr>
        <w:t>‘Transferring Violence? Mafia Killings in Nontraditional Areas: Evidence from Italy’. Journal of Conflict Resolution. doi:10.1177/0022002717693049.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Moro et al. (2014) “The Politics of Mafia Violence: Explaining Variation in Mafia Killings in Southern Italy (1983-2008)” Terrorism and Political Violence, 1-24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Pinotti, Paolo (2015) “The causes and consequences of organised crime: preliminary evidence across countries”. The Economic Journal, 125 (586): 158-174</w:t>
      </w:r>
      <w:r>
        <w:rPr>
          <w:rFonts w:ascii="Times New Roman" w:hAnsi="Times New Roman"/>
          <w:sz w:val="18"/>
          <w:szCs w:val="18"/>
          <w:lang w:val="en-GB"/>
        </w:rPr>
        <w:t>.</w:t>
      </w:r>
    </w:p>
    <w:p w:rsidR="003E1960" w:rsidRPr="003E1960" w:rsidRDefault="003E1960" w:rsidP="003E1960">
      <w:pPr>
        <w:rPr>
          <w:sz w:val="18"/>
          <w:szCs w:val="18"/>
          <w:u w:val="single"/>
          <w:lang w:val="en-GB"/>
        </w:rPr>
      </w:pPr>
      <w:r w:rsidRPr="003E1960">
        <w:rPr>
          <w:sz w:val="18"/>
          <w:szCs w:val="18"/>
          <w:u w:val="single"/>
          <w:lang w:val="en-GB"/>
        </w:rPr>
        <w:t>Urban and property crimes</w:t>
      </w:r>
    </w:p>
    <w:p w:rsidR="003E1960" w:rsidRPr="003E1960" w:rsidRDefault="003E1960" w:rsidP="00C1792C">
      <w:pPr>
        <w:pStyle w:val="Paragrafoelenco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Andresen, Martin A. and Hodgkinson, T. (2018) “Predicting Property Crime Risk an Application of Risk Terrain Modeling in Vancouver, Canada” European Journal on Criminal Policy and Research, 24:373–392</w:t>
      </w:r>
      <w:r>
        <w:rPr>
          <w:rFonts w:ascii="Times New Roman" w:hAnsi="Times New Roman"/>
          <w:sz w:val="18"/>
          <w:szCs w:val="18"/>
          <w:lang w:val="en-GB"/>
        </w:rPr>
        <w:t>.</w:t>
      </w:r>
    </w:p>
    <w:p w:rsidR="003E1960" w:rsidRPr="003E1960" w:rsidRDefault="003E1960" w:rsidP="003E1960">
      <w:pPr>
        <w:rPr>
          <w:sz w:val="18"/>
          <w:szCs w:val="18"/>
          <w:u w:val="single"/>
          <w:lang w:val="en-GB"/>
        </w:rPr>
      </w:pPr>
      <w:r w:rsidRPr="003E1960">
        <w:rPr>
          <w:sz w:val="18"/>
          <w:szCs w:val="18"/>
          <w:u w:val="single"/>
          <w:lang w:val="en-GB"/>
        </w:rPr>
        <w:t>Drug trafficking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lastRenderedPageBreak/>
        <w:t>Aziani et al. (2019) “A Quantitative Application of Enterprise and Social Embeddedness Theories to the Transnational Trafficking of Cocaine in Europe”, Deviant Behavior, DOI: 10.1080/01639625.2019.1666606</w:t>
      </w:r>
    </w:p>
    <w:p w:rsidR="003E1960" w:rsidRPr="003E1960" w:rsidRDefault="003E1960" w:rsidP="00C1792C">
      <w:pPr>
        <w:pStyle w:val="Paragrafoelenco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Boivin, Rémi. 2014. ‘Risks, Prices, and Positions: A Social Network Analysis of Illegal Drug Trafficking in the World-Economy’. International Journal of Drug Policy 25 (2):235–43.</w:t>
      </w:r>
    </w:p>
    <w:p w:rsidR="003E1960" w:rsidRPr="003E1960" w:rsidRDefault="003E1960" w:rsidP="00C1792C">
      <w:pPr>
        <w:rPr>
          <w:sz w:val="18"/>
          <w:szCs w:val="18"/>
          <w:u w:val="single"/>
          <w:lang w:val="en-GB"/>
        </w:rPr>
      </w:pPr>
      <w:r w:rsidRPr="003E1960">
        <w:rPr>
          <w:sz w:val="18"/>
          <w:szCs w:val="18"/>
          <w:u w:val="single"/>
          <w:lang w:val="en-GB"/>
        </w:rPr>
        <w:t>Terrorism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 xml:space="preserve">Benmelech, Efraim, and Esteban Klor (2016). “What Explains the Flow of Foreign Fighters to ISIS?” (No. w22190). </w:t>
      </w:r>
      <w:r w:rsidRPr="003E1960">
        <w:rPr>
          <w:rFonts w:ascii="Times New Roman" w:hAnsi="Times New Roman"/>
          <w:i/>
          <w:sz w:val="18"/>
          <w:szCs w:val="18"/>
          <w:lang w:val="en-GB"/>
        </w:rPr>
        <w:t>National Bureau of Economic Research</w:t>
      </w:r>
      <w:r w:rsidRPr="003E1960">
        <w:rPr>
          <w:rFonts w:ascii="Times New Roman" w:hAnsi="Times New Roman"/>
          <w:sz w:val="18"/>
          <w:szCs w:val="18"/>
          <w:lang w:val="en-GB"/>
        </w:rPr>
        <w:t>.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 xml:space="preserve">Behlendorf, B., LaFree, G., &amp; Legault, R. (2012). Microcycles of Violence: Evidence from Terrorist Attacks by ETA and the FMLN. </w:t>
      </w:r>
      <w:r w:rsidRPr="003E1960">
        <w:rPr>
          <w:rFonts w:ascii="Times New Roman" w:hAnsi="Times New Roman"/>
          <w:i/>
          <w:iCs/>
          <w:sz w:val="18"/>
          <w:szCs w:val="18"/>
        </w:rPr>
        <w:t>Journal of Quantitative Criminology</w:t>
      </w:r>
      <w:r w:rsidRPr="003E1960">
        <w:rPr>
          <w:rFonts w:ascii="Times New Roman" w:hAnsi="Times New Roman"/>
          <w:sz w:val="18"/>
          <w:szCs w:val="18"/>
        </w:rPr>
        <w:t xml:space="preserve">, </w:t>
      </w:r>
      <w:r w:rsidRPr="003E1960">
        <w:rPr>
          <w:rFonts w:ascii="Times New Roman" w:hAnsi="Times New Roman"/>
          <w:i/>
          <w:iCs/>
          <w:sz w:val="18"/>
          <w:szCs w:val="18"/>
        </w:rPr>
        <w:t>28</w:t>
      </w:r>
      <w:r w:rsidRPr="003E1960">
        <w:rPr>
          <w:rFonts w:ascii="Times New Roman" w:hAnsi="Times New Roman"/>
          <w:sz w:val="18"/>
          <w:szCs w:val="18"/>
        </w:rPr>
        <w:t xml:space="preserve">(1), 49–75. 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Caruso, Raul and Friedrich Schneider (2011) “The socio-economic determinants of terrorism and political violence in Western Europe” European Journal of Political Economy, 27(1): S37-S49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 xml:space="preserve">Piazza, James A. (2006). “Rooted in </w:t>
      </w:r>
      <w:proofErr w:type="gramStart"/>
      <w:r w:rsidRPr="003E1960">
        <w:rPr>
          <w:rFonts w:ascii="Times New Roman" w:hAnsi="Times New Roman"/>
          <w:sz w:val="18"/>
          <w:szCs w:val="18"/>
          <w:lang w:val="en-GB"/>
        </w:rPr>
        <w:t>Poverty?:</w:t>
      </w:r>
      <w:proofErr w:type="gramEnd"/>
      <w:r w:rsidRPr="003E1960">
        <w:rPr>
          <w:rFonts w:ascii="Times New Roman" w:hAnsi="Times New Roman"/>
          <w:sz w:val="18"/>
          <w:szCs w:val="18"/>
          <w:lang w:val="en-GB"/>
        </w:rPr>
        <w:t xml:space="preserve"> Terrorism, Poor Economic Development, and Social Cleavages.” Terrorism and Political Violence, 18 (1):159–77.</w:t>
      </w:r>
    </w:p>
    <w:p w:rsidR="003E1960" w:rsidRPr="003E1960" w:rsidRDefault="003E1960" w:rsidP="003E1960">
      <w:pPr>
        <w:rPr>
          <w:sz w:val="18"/>
          <w:szCs w:val="18"/>
          <w:u w:val="single"/>
          <w:lang w:val="en-GB"/>
        </w:rPr>
      </w:pPr>
      <w:r w:rsidRPr="003E1960">
        <w:rPr>
          <w:sz w:val="18"/>
          <w:szCs w:val="18"/>
          <w:u w:val="single"/>
          <w:lang w:val="en-GB"/>
        </w:rPr>
        <w:t>Sexual and domestic violence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3E1960">
        <w:rPr>
          <w:rFonts w:ascii="Times New Roman" w:hAnsi="Times New Roman"/>
          <w:sz w:val="18"/>
          <w:szCs w:val="18"/>
        </w:rPr>
        <w:t xml:space="preserve">Espelage, D. L., Basile, K. C., De La Rue, L., &amp; Hamburger, M. E. (2015). </w:t>
      </w:r>
      <w:r w:rsidRPr="003E1960">
        <w:rPr>
          <w:rFonts w:ascii="Times New Roman" w:hAnsi="Times New Roman"/>
          <w:sz w:val="18"/>
          <w:szCs w:val="18"/>
          <w:lang w:val="en-GB"/>
        </w:rPr>
        <w:t xml:space="preserve">“Longitudinal Associations Among Bullying, Homophobic Teasing, and Sexual Violence Perpetration Among Middle School Students”. </w:t>
      </w:r>
      <w:r w:rsidRPr="003E1960">
        <w:rPr>
          <w:rFonts w:ascii="Times New Roman" w:hAnsi="Times New Roman"/>
          <w:sz w:val="18"/>
          <w:szCs w:val="18"/>
        </w:rPr>
        <w:t>Journal of Interpersonal Violence, 30(14), 2541–2561.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>Macmillan, Ross and Gartner Rosemary (1999) “When She Brings Home the Bacon: Labor Force Participation and the Risk of Spousal Violence Against Women”, Journal of Marriage and Family, 61 (4): 947-958.</w:t>
      </w:r>
    </w:p>
    <w:p w:rsidR="003E1960" w:rsidRPr="003E1960" w:rsidRDefault="003E1960" w:rsidP="003E1960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18"/>
          <w:szCs w:val="18"/>
          <w:lang w:val="en-GB"/>
        </w:rPr>
      </w:pPr>
      <w:r w:rsidRPr="003E1960">
        <w:rPr>
          <w:rFonts w:ascii="Times New Roman" w:hAnsi="Times New Roman"/>
          <w:sz w:val="18"/>
          <w:szCs w:val="18"/>
          <w:lang w:val="en-GB"/>
        </w:rPr>
        <w:t xml:space="preserve">Stotzer, Rebecca L., and MacCartney, Danielle (2016). “The Role of Institutional Factors </w:t>
      </w:r>
      <w:proofErr w:type="gramStart"/>
      <w:r w:rsidRPr="003E1960">
        <w:rPr>
          <w:rFonts w:ascii="Times New Roman" w:hAnsi="Times New Roman"/>
          <w:sz w:val="18"/>
          <w:szCs w:val="18"/>
          <w:lang w:val="en-GB"/>
        </w:rPr>
        <w:t>on</w:t>
      </w:r>
      <w:proofErr w:type="gramEnd"/>
      <w:r w:rsidRPr="003E1960">
        <w:rPr>
          <w:rFonts w:ascii="Times New Roman" w:hAnsi="Times New Roman"/>
          <w:sz w:val="18"/>
          <w:szCs w:val="18"/>
          <w:lang w:val="en-GB"/>
        </w:rPr>
        <w:t xml:space="preserve"> On-Campus Reported Rape Prevalence.”, Journal of Interpersonal Violence, 31(16), 2687–2707</w:t>
      </w:r>
    </w:p>
    <w:p w:rsidR="003C1D4E" w:rsidRPr="003C1D4E" w:rsidRDefault="00322552" w:rsidP="003C1D4E">
      <w:pPr>
        <w:pStyle w:val="Testo1"/>
        <w:spacing w:before="0"/>
        <w:rPr>
          <w:i/>
        </w:rPr>
      </w:pPr>
      <w:r>
        <w:rPr>
          <w:i/>
        </w:rPr>
        <w:t>Altri studenti</w:t>
      </w:r>
    </w:p>
    <w:p w:rsidR="003C1D4E" w:rsidRPr="008B1C96" w:rsidRDefault="003C1D4E" w:rsidP="003C1D4E">
      <w:pPr>
        <w:pStyle w:val="Testo1"/>
        <w:spacing w:before="0"/>
      </w:pPr>
      <w:r w:rsidRPr="008B1C96">
        <w:t>•</w:t>
      </w:r>
      <w:r w:rsidRPr="008B1C96">
        <w:tab/>
        <w:t>Tutto il materiale prese</w:t>
      </w:r>
      <w:r w:rsidR="00322552">
        <w:t>ntato nella sezione precedente</w:t>
      </w:r>
    </w:p>
    <w:p w:rsidR="003C1D4E" w:rsidRDefault="003C1D4E" w:rsidP="003C1D4E">
      <w:pPr>
        <w:pStyle w:val="Testo1"/>
        <w:spacing w:before="0"/>
      </w:pPr>
      <w:r w:rsidRPr="00E14A22">
        <w:rPr>
          <w:lang w:val="en-GB"/>
        </w:rPr>
        <w:t>•</w:t>
      </w:r>
      <w:r w:rsidRPr="00E14A22">
        <w:rPr>
          <w:lang w:val="en-GB"/>
        </w:rPr>
        <w:tab/>
        <w:t xml:space="preserve">Buonanno (2003). The Socioeconomic Determinants of Crime. A Review of the Literature. </w:t>
      </w:r>
      <w:r w:rsidRPr="008B1C96">
        <w:t>Working paper – Università degli studi Milano-Bicocca.</w:t>
      </w:r>
    </w:p>
    <w:p w:rsidR="003C1D4E" w:rsidRDefault="003C1D4E" w:rsidP="003C1D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3C1D4E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Lezioni frontali, laboratoriali </w:t>
      </w:r>
      <w:r w:rsidRPr="00F74EDF">
        <w:rPr>
          <w:noProof/>
          <w:sz w:val="18"/>
          <w:szCs w:val="18"/>
        </w:rPr>
        <w:t>ed esercitazioni con lavori di gruppo in classe.</w:t>
      </w:r>
      <w:r w:rsidRPr="007217F4">
        <w:rPr>
          <w:rFonts w:ascii="Times" w:hAnsi="Times"/>
          <w:noProof/>
          <w:sz w:val="18"/>
          <w:szCs w:val="20"/>
        </w:rPr>
        <w:t xml:space="preserve"> </w:t>
      </w:r>
      <w:r w:rsidRPr="00F74EDF">
        <w:rPr>
          <w:rFonts w:ascii="Times" w:hAnsi="Times"/>
          <w:noProof/>
          <w:sz w:val="18"/>
          <w:szCs w:val="20"/>
        </w:rPr>
        <w:t>Ad ecce</w:t>
      </w:r>
      <w:r>
        <w:rPr>
          <w:rFonts w:ascii="Times" w:hAnsi="Times"/>
          <w:noProof/>
          <w:sz w:val="18"/>
          <w:szCs w:val="20"/>
        </w:rPr>
        <w:t>zione di qualche lezione (introduttiva + spiegazione paper/lavoro di gruppo)</w:t>
      </w:r>
      <w:r w:rsidRPr="00F74EDF">
        <w:rPr>
          <w:rFonts w:ascii="Times" w:hAnsi="Times"/>
          <w:noProof/>
          <w:sz w:val="18"/>
          <w:szCs w:val="20"/>
        </w:rPr>
        <w:t>, il corso è tenuto in lingua inglese.</w:t>
      </w:r>
    </w:p>
    <w:p w:rsidR="003C1D4E" w:rsidRDefault="003C1D4E" w:rsidP="003C1D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22552" w:rsidRDefault="00322552" w:rsidP="00322552">
      <w:pPr>
        <w:pStyle w:val="Testo2"/>
        <w:ind w:firstLine="0"/>
      </w:pPr>
      <w:r>
        <w:rPr>
          <w:i/>
        </w:rPr>
        <w:t>Studenti che frequentano l’80% delle lezioni e partecipano al lavoro di gruppo</w:t>
      </w:r>
      <w:r w:rsidRPr="003C1D4E">
        <w:t xml:space="preserve"> </w:t>
      </w:r>
    </w:p>
    <w:p w:rsidR="003C1D4E" w:rsidRPr="003C1D4E" w:rsidRDefault="003C1D4E" w:rsidP="003C1D4E">
      <w:pPr>
        <w:pStyle w:val="Testo2"/>
      </w:pPr>
      <w:r w:rsidRPr="003C1D4E">
        <w:t>Lavoro di gruppo (inglese): verrà richiesto agli studenti frequentanti di presentare un paper (tra quelli elencati in bibliografia) come lavoro di gruppo durante il corso. Il lavoro di gruppo permette di acquisire 7 punti per l’esame finale (chiarezza espositiva – 2 punti; livello di approfondimento – 2 punti; stimolazione della discussione – 2 punti; suddivisione del lavoro – 1 punto). Inoltre, 1 punto aggiuntivo potrà essere guadagnato da coloro che intervengono e pongono domande ai colleghi</w:t>
      </w:r>
    </w:p>
    <w:p w:rsidR="003C1D4E" w:rsidRPr="003C1D4E" w:rsidRDefault="003C1D4E" w:rsidP="003C1D4E">
      <w:pPr>
        <w:pStyle w:val="Testo2"/>
      </w:pPr>
      <w:r w:rsidRPr="003C1D4E">
        <w:t>Elaborato scritto (inglese o italiano): verrà richiesto agli studenti frequentanti di preparare un elaborato scritto di 18.000 caratteri (spazi e bibliografia inclusi). Il tema dell’elaborato sarà l’applicazione di un metodo empirico quantitativo per analizzare un fenomeno criminale. L’elaborato s</w:t>
      </w:r>
      <w:r w:rsidR="00322552">
        <w:t xml:space="preserve">critto permette di acquisire 25 </w:t>
      </w:r>
      <w:r w:rsidRPr="003C1D4E">
        <w:t xml:space="preserve">punti per </w:t>
      </w:r>
      <w:r w:rsidR="00322552">
        <w:t>l’esame finale (un massimo di 23</w:t>
      </w:r>
      <w:r w:rsidRPr="003C1D4E">
        <w:t xml:space="preserve"> punti per gli elaborati redatti in lingua italiana).</w:t>
      </w:r>
    </w:p>
    <w:p w:rsidR="004052D1" w:rsidRDefault="003C1D4E" w:rsidP="003C1D4E">
      <w:pPr>
        <w:pStyle w:val="Testo2"/>
      </w:pPr>
      <w:r w:rsidRPr="003C1D4E">
        <w:t>Il voto della prova è determinato dalla somma dei punteggi totalizzati nelle due parti. Punteggi superiori a 30 corrispondono a un voto di 30 e lode. Non è possibile risostenere l’esame in caso di esito positivo. I punti della presenza e quelli del lavoro di gruppo verranno conteggiati solo nel caso in cui l’elaborato</w:t>
      </w:r>
      <w:r w:rsidR="00322552">
        <w:t xml:space="preserve"> scritto risulti sufficiente (14 punti su 25</w:t>
      </w:r>
      <w:r w:rsidRPr="003C1D4E">
        <w:t>). Nel caso in cui l’elaborato non risultasse sufficiente e lo studente volesse presentare un altro elaborato all’appello successivo potrà presentare lo stesso argomento per un massimo di due appelli.</w:t>
      </w:r>
    </w:p>
    <w:p w:rsidR="003C1D4E" w:rsidRPr="003C1D4E" w:rsidRDefault="004052D1" w:rsidP="006C12DA">
      <w:pPr>
        <w:pStyle w:val="Testo2"/>
      </w:pPr>
      <w:r>
        <w:t>Il voto finale dell’insegnamento è determinato dalla media artimetica delle prove dei due moduli, a condizione che in entrambi si sia riportato un voto pari o superiore a 18. A tal fine, 30 e lode corrisponde a 31. La media è arrotondata per eccesso.</w:t>
      </w:r>
      <w:r w:rsidR="006C12DA">
        <w:t xml:space="preserve"> </w:t>
      </w:r>
      <w:r w:rsidR="006C12DA" w:rsidRPr="00F74EDF">
        <w:t xml:space="preserve">Non è possibile risostenere la prova </w:t>
      </w:r>
      <w:r w:rsidR="006C12DA">
        <w:t xml:space="preserve">del modulo </w:t>
      </w:r>
      <w:r w:rsidR="006C12DA" w:rsidRPr="00F74EDF">
        <w:t>in caso di esito positivo.</w:t>
      </w:r>
      <w:r>
        <w:t xml:space="preserve"> </w:t>
      </w:r>
      <w:r w:rsidR="003C1D4E" w:rsidRPr="003C1D4E">
        <w:t xml:space="preserve"> </w:t>
      </w:r>
    </w:p>
    <w:p w:rsidR="003C1D4E" w:rsidRPr="003C1D4E" w:rsidRDefault="006F01CD" w:rsidP="00E67B9F">
      <w:pPr>
        <w:pStyle w:val="Testo2"/>
        <w:spacing w:before="120"/>
        <w:ind w:firstLine="0"/>
        <w:rPr>
          <w:i/>
        </w:rPr>
      </w:pPr>
      <w:r>
        <w:rPr>
          <w:i/>
        </w:rPr>
        <w:t>Altri studenti</w:t>
      </w:r>
      <w:r w:rsidR="003C1D4E" w:rsidRPr="003C1D4E">
        <w:rPr>
          <w:i/>
        </w:rPr>
        <w:t xml:space="preserve">: </w:t>
      </w:r>
    </w:p>
    <w:p w:rsidR="003C1D4E" w:rsidRPr="003C1D4E" w:rsidRDefault="008E7398" w:rsidP="006C12DA">
      <w:pPr>
        <w:pStyle w:val="Testo2"/>
      </w:pPr>
      <w:r>
        <w:t xml:space="preserve">L’esame per </w:t>
      </w:r>
      <w:r w:rsidR="00322552">
        <w:t>gli studenti che</w:t>
      </w:r>
      <w:r w:rsidR="001250CE">
        <w:t xml:space="preserve"> non frequentano l’80% delle lezioni</w:t>
      </w:r>
      <w:r w:rsidR="00322552">
        <w:t xml:space="preserve"> e non partecipano al lavoro di gruppo</w:t>
      </w:r>
      <w:r w:rsidR="003C1D4E" w:rsidRPr="003C1D4E">
        <w:t xml:space="preserve"> consta in una prova scritta in lingua inglese sul materiale che verrà indicato nel syllabus (5 domande aperte della durata totale di 90 minuti – max 30 punti). 3 domande saranno più di carattere compilativo e 2 domande richiederanno di dimostrare senso critico nella discussione delle domande della ricerca, ipotesi, del metodo, </w:t>
      </w:r>
      <w:r w:rsidR="003C1D4E" w:rsidRPr="003C1D4E">
        <w:lastRenderedPageBreak/>
        <w:t>dei risultati e dei limiti degli studi indicati in bibliografia.</w:t>
      </w:r>
      <w:r w:rsidR="006C12DA">
        <w:t xml:space="preserve"> </w:t>
      </w:r>
      <w:r w:rsidR="006C12DA" w:rsidRPr="00F74EDF">
        <w:t xml:space="preserve">Non è possibile risostenere la prova </w:t>
      </w:r>
      <w:r w:rsidR="006C12DA">
        <w:t xml:space="preserve">del modulo </w:t>
      </w:r>
      <w:r w:rsidR="006C12DA" w:rsidRPr="00F74EDF">
        <w:t>in caso di esito positivo.</w:t>
      </w:r>
    </w:p>
    <w:p w:rsidR="003C1D4E" w:rsidRPr="00FC0952" w:rsidRDefault="003C1D4E" w:rsidP="003C1D4E">
      <w:pPr>
        <w:spacing w:before="240" w:after="120"/>
        <w:rPr>
          <w:b/>
          <w:i/>
          <w:sz w:val="18"/>
        </w:rPr>
      </w:pPr>
      <w:r w:rsidRPr="00FC0952">
        <w:rPr>
          <w:b/>
          <w:i/>
          <w:sz w:val="18"/>
        </w:rPr>
        <w:t>AVVERTENZE E PREREQUISITI</w:t>
      </w:r>
    </w:p>
    <w:p w:rsidR="004421A9" w:rsidRDefault="004421A9" w:rsidP="003C1D4E">
      <w:pPr>
        <w:pStyle w:val="Testo2"/>
      </w:pPr>
      <w:r>
        <w:t xml:space="preserve">Nel caso in cui la situazione sanitaria relativa alla pandemia di Covid-19 non dovesse consentire la didattica in presenza, sarà garantita l’erogazione a distanza dell’insegnamento </w:t>
      </w:r>
      <w:r w:rsidR="005B487F">
        <w:t xml:space="preserve">e degli ersami di profitto </w:t>
      </w:r>
      <w:r>
        <w:t>con modalità che verranno comunicate in tempo utile agli studenti.</w:t>
      </w:r>
    </w:p>
    <w:p w:rsidR="003C1D4E" w:rsidRPr="00E535A2" w:rsidRDefault="003C1D4E" w:rsidP="003C1D4E">
      <w:pPr>
        <w:pStyle w:val="Testo2"/>
      </w:pPr>
      <w:r w:rsidRPr="00FC0952">
        <w:t>La frequenza è altamente consigliata, in considerazione della natu</w:t>
      </w:r>
      <w:r w:rsidRPr="00E535A2">
        <w:t xml:space="preserve">ra </w:t>
      </w:r>
      <w:r>
        <w:t>applicata e laboratoriale del corso.</w:t>
      </w:r>
      <w:r w:rsidRPr="00E535A2">
        <w:t xml:space="preserve"> Ogni anno </w:t>
      </w:r>
      <w:r>
        <w:t>la bibliografia è aggiornata</w:t>
      </w:r>
      <w:r w:rsidRPr="00E535A2">
        <w:t xml:space="preserve"> per tenere il passo co</w:t>
      </w:r>
      <w:r>
        <w:t>n gli sviluppi, le innovazioni e per tenere conto degli interessi degli studenti in corso</w:t>
      </w:r>
      <w:r w:rsidRPr="00E535A2">
        <w:t xml:space="preserve">. </w:t>
      </w:r>
    </w:p>
    <w:p w:rsidR="003C1D4E" w:rsidRPr="00F74EDF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Programma aggiornato, bibliografia, istruzioni e altri documenti saranno pubblicati sulla pagina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del corso. La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sarà anche lo strumento per comunicare cambi di orari, informazioni sugli esami e altro. </w:t>
      </w:r>
    </w:p>
    <w:p w:rsidR="003C1D4E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Tutti gli studenti (frequentanti e non, in corso e fuori corso) sono invitati ad iscriversi al corso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e a tenersi aggiornati (inserendo gentilmente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un proprio indirizzo e-mail che indichi chiaramente nome e cognome).</w:t>
      </w:r>
    </w:p>
    <w:p w:rsidR="003C1D4E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Per un’utile frequenza del modulo, lo studente dovrà possedere le conoscenze di base della ricerca empirica quantitativa (acquisite nel corso di </w:t>
      </w:r>
      <w:r w:rsidRPr="00992A83">
        <w:rPr>
          <w:noProof/>
          <w:sz w:val="18"/>
          <w:szCs w:val="18"/>
        </w:rPr>
        <w:t>Metodologie per la valutazione delle polit</w:t>
      </w:r>
      <w:r w:rsidR="001250CE">
        <w:rPr>
          <w:noProof/>
          <w:sz w:val="18"/>
          <w:szCs w:val="18"/>
        </w:rPr>
        <w:t>iche</w:t>
      </w:r>
      <w:r>
        <w:rPr>
          <w:noProof/>
          <w:sz w:val="18"/>
          <w:szCs w:val="18"/>
        </w:rPr>
        <w:t>), della metodologia della ricerca criminologica (acquisite nei corsi di Metodi e tecniche della ricerca criminologica e Criminologia applicata) e delle tecniche di sc</w:t>
      </w:r>
      <w:r w:rsidR="00322552">
        <w:rPr>
          <w:noProof/>
          <w:sz w:val="18"/>
          <w:szCs w:val="18"/>
        </w:rPr>
        <w:t xml:space="preserve">rittura (acquisite nel </w:t>
      </w:r>
      <w:r w:rsidR="001250CE" w:rsidRPr="001250CE">
        <w:rPr>
          <w:noProof/>
          <w:sz w:val="18"/>
          <w:szCs w:val="18"/>
        </w:rPr>
        <w:t xml:space="preserve">Laboratorio di ricerca fonti e scrittura di paper e tesi </w:t>
      </w:r>
      <w:r>
        <w:rPr>
          <w:noProof/>
          <w:sz w:val="18"/>
          <w:szCs w:val="18"/>
        </w:rPr>
        <w:t xml:space="preserve">e </w:t>
      </w:r>
      <w:r w:rsidR="00322552">
        <w:rPr>
          <w:noProof/>
          <w:sz w:val="18"/>
          <w:szCs w:val="18"/>
        </w:rPr>
        <w:t xml:space="preserve">nel corso di </w:t>
      </w:r>
      <w:r>
        <w:rPr>
          <w:noProof/>
          <w:sz w:val="18"/>
          <w:szCs w:val="18"/>
        </w:rPr>
        <w:t>Criminologia applicata).</w:t>
      </w:r>
    </w:p>
    <w:p w:rsidR="003C1D4E" w:rsidRPr="003C1D4E" w:rsidRDefault="003C1D4E" w:rsidP="003C1D4E">
      <w:pPr>
        <w:pStyle w:val="Testo2"/>
        <w:spacing w:before="120"/>
        <w:rPr>
          <w:i/>
        </w:rPr>
      </w:pPr>
      <w:r w:rsidRPr="003C1D4E">
        <w:rPr>
          <w:i/>
        </w:rPr>
        <w:t xml:space="preserve">Orario e luogo di ricevimento </w:t>
      </w:r>
    </w:p>
    <w:p w:rsidR="003C1D4E" w:rsidRPr="00AE43D7" w:rsidRDefault="007A66C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Il</w:t>
      </w:r>
      <w:r w:rsidR="003C1D4E" w:rsidRPr="00AE43D7">
        <w:rPr>
          <w:noProof/>
          <w:sz w:val="18"/>
          <w:szCs w:val="18"/>
        </w:rPr>
        <w:t xml:space="preserve"> Prof. Serena Favarin </w:t>
      </w:r>
      <w:r w:rsidR="00AE43D7" w:rsidRPr="00AE43D7">
        <w:rPr>
          <w:sz w:val="18"/>
          <w:szCs w:val="18"/>
        </w:rPr>
        <w:t>riceve gli studenti su appuntamento in remoto o in presenza presso gli uffici di</w:t>
      </w:r>
      <w:r w:rsidR="00AE43D7" w:rsidRPr="00AE43D7">
        <w:rPr>
          <w:noProof/>
          <w:sz w:val="18"/>
          <w:szCs w:val="18"/>
        </w:rPr>
        <w:t xml:space="preserve"> </w:t>
      </w:r>
      <w:r w:rsidR="003C1D4E" w:rsidRPr="00AE43D7">
        <w:rPr>
          <w:noProof/>
          <w:sz w:val="18"/>
          <w:szCs w:val="18"/>
        </w:rPr>
        <w:t xml:space="preserve">TRANSCRIME (Via S. Vittore 43, piano interrato). Per appuntamento indirizzare e-mail a: </w:t>
      </w:r>
      <w:r w:rsidR="00312EFA" w:rsidRPr="007A66CE">
        <w:rPr>
          <w:i/>
          <w:noProof/>
          <w:sz w:val="18"/>
          <w:szCs w:val="18"/>
        </w:rPr>
        <w:t>serena.f</w:t>
      </w:r>
      <w:bookmarkStart w:id="0" w:name="_GoBack"/>
      <w:bookmarkEnd w:id="0"/>
      <w:r w:rsidR="00312EFA" w:rsidRPr="007A66CE">
        <w:rPr>
          <w:i/>
          <w:noProof/>
          <w:sz w:val="18"/>
          <w:szCs w:val="18"/>
        </w:rPr>
        <w:t>avarin@unicatt.it</w:t>
      </w:r>
      <w:r w:rsidR="003C1D4E" w:rsidRPr="00AE43D7">
        <w:rPr>
          <w:noProof/>
          <w:sz w:val="18"/>
          <w:szCs w:val="18"/>
        </w:rPr>
        <w:t>.</w:t>
      </w:r>
    </w:p>
    <w:p w:rsidR="00312EFA" w:rsidRDefault="00312EFA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:rsidR="00312EFA" w:rsidRDefault="00312EFA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:rsidR="00ED5D35" w:rsidRDefault="00ED5D35" w:rsidP="00AE43D7">
      <w:pPr>
        <w:tabs>
          <w:tab w:val="clear" w:pos="284"/>
        </w:tabs>
        <w:spacing w:before="240" w:after="120"/>
        <w:jc w:val="left"/>
        <w:outlineLvl w:val="0"/>
        <w:rPr>
          <w:smallCaps/>
          <w:noProof/>
          <w:sz w:val="18"/>
          <w:szCs w:val="18"/>
          <w:lang w:val="en-US"/>
        </w:rPr>
      </w:pPr>
    </w:p>
    <w:p w:rsidR="00AE43D7" w:rsidRPr="00D87ACD" w:rsidRDefault="00AE43D7" w:rsidP="00AE43D7">
      <w:pPr>
        <w:tabs>
          <w:tab w:val="clear" w:pos="284"/>
        </w:tabs>
        <w:spacing w:before="240" w:after="120"/>
        <w:jc w:val="left"/>
        <w:outlineLvl w:val="0"/>
        <w:rPr>
          <w:noProof/>
          <w:szCs w:val="20"/>
          <w:lang w:val="en-US"/>
        </w:rPr>
      </w:pPr>
      <w:r w:rsidRPr="00D87ACD">
        <w:rPr>
          <w:smallCaps/>
          <w:noProof/>
          <w:sz w:val="18"/>
          <w:szCs w:val="18"/>
          <w:lang w:val="en-US"/>
        </w:rPr>
        <w:t>II Modulo</w:t>
      </w:r>
      <w:r w:rsidRPr="00D87ACD">
        <w:rPr>
          <w:noProof/>
          <w:sz w:val="18"/>
          <w:szCs w:val="18"/>
          <w:lang w:val="en-US"/>
        </w:rPr>
        <w:t xml:space="preserve">: </w:t>
      </w:r>
      <w:r w:rsidRPr="00D87ACD">
        <w:rPr>
          <w:i/>
          <w:noProof/>
          <w:szCs w:val="20"/>
          <w:lang w:val="en-US"/>
        </w:rPr>
        <w:t xml:space="preserve">Analysis of criminal networks </w:t>
      </w:r>
      <w:r w:rsidRPr="00D87ACD">
        <w:rPr>
          <w:noProof/>
          <w:szCs w:val="20"/>
          <w:lang w:val="en-US"/>
        </w:rPr>
        <w:t>(Prof. Francesco Calderoni)</w:t>
      </w:r>
    </w:p>
    <w:p w:rsidR="00AE43D7" w:rsidRDefault="00AE43D7" w:rsidP="00AE43D7">
      <w:pPr>
        <w:spacing w:before="240" w:after="120"/>
        <w:rPr>
          <w:b/>
          <w:noProof/>
          <w:sz w:val="18"/>
        </w:rPr>
      </w:pPr>
      <w:r w:rsidRPr="00F344F7">
        <w:rPr>
          <w:b/>
          <w:i/>
          <w:noProof/>
          <w:sz w:val="18"/>
        </w:rPr>
        <w:lastRenderedPageBreak/>
        <w:t xml:space="preserve">OBIETTIVO DEL CORSO </w:t>
      </w:r>
      <w:r w:rsidRPr="00F344F7">
        <w:rPr>
          <w:b/>
          <w:i/>
          <w:sz w:val="18"/>
        </w:rPr>
        <w:t>E RISULTATI DI APPRENDIMENTO ATTESI</w:t>
      </w:r>
    </w:p>
    <w:p w:rsidR="00AE43D7" w:rsidRPr="00F74EDF" w:rsidRDefault="00AE43D7" w:rsidP="00AE43D7">
      <w:pPr>
        <w:tabs>
          <w:tab w:val="clear" w:pos="284"/>
        </w:tabs>
        <w:rPr>
          <w:rFonts w:eastAsia="MS Mincho"/>
        </w:rPr>
      </w:pPr>
      <w:r w:rsidRPr="00F74EDF">
        <w:rPr>
          <w:rFonts w:eastAsia="MS Mincho"/>
        </w:rPr>
        <w:t>Il corso introduce all’applicazione dell’analisi delle reti sociali alla criminalità</w:t>
      </w:r>
      <w:r>
        <w:rPr>
          <w:rFonts w:eastAsia="MS Mincho"/>
        </w:rPr>
        <w:t xml:space="preserve"> dal punto di vista teorico e operativo</w:t>
      </w:r>
      <w:r w:rsidRPr="00F74EDF">
        <w:rPr>
          <w:rFonts w:eastAsia="MS Mincho"/>
        </w:rPr>
        <w:t xml:space="preserve">. </w:t>
      </w:r>
      <w:r>
        <w:rPr>
          <w:rFonts w:eastAsia="MS Mincho"/>
        </w:rPr>
        <w:t xml:space="preserve">Al termine del corso lo studente dovrà aver acquisito le </w:t>
      </w:r>
      <w:r w:rsidRPr="00F74EDF">
        <w:rPr>
          <w:rFonts w:eastAsia="MS Mincho"/>
        </w:rPr>
        <w:t xml:space="preserve">conoscenze di base dell’analisi delle reti sociali, dei principali approcci </w:t>
      </w:r>
      <w:r>
        <w:rPr>
          <w:rFonts w:eastAsia="MS Mincho"/>
        </w:rPr>
        <w:t xml:space="preserve">reticolari </w:t>
      </w:r>
      <w:r w:rsidRPr="00F74EDF">
        <w:rPr>
          <w:rFonts w:eastAsia="MS Mincho"/>
        </w:rPr>
        <w:t xml:space="preserve">utilizzati nello studio della criminalità e </w:t>
      </w:r>
      <w:r>
        <w:rPr>
          <w:rFonts w:eastAsia="MS Mincho"/>
        </w:rPr>
        <w:t xml:space="preserve">le competenze per </w:t>
      </w:r>
      <w:r w:rsidRPr="00F74EDF">
        <w:rPr>
          <w:rFonts w:eastAsia="MS Mincho"/>
        </w:rPr>
        <w:t>un’autonoma capacità di raccolta, analisi ed interpretazione dei dati e dei risultati.</w:t>
      </w:r>
    </w:p>
    <w:p w:rsidR="00AE43D7" w:rsidRPr="00074A22" w:rsidRDefault="00AE43D7" w:rsidP="00AE43D7">
      <w:pPr>
        <w:spacing w:before="240" w:after="120"/>
        <w:rPr>
          <w:b/>
          <w:noProof/>
          <w:sz w:val="18"/>
        </w:rPr>
      </w:pPr>
      <w:r w:rsidRPr="00074A22">
        <w:rPr>
          <w:b/>
          <w:i/>
          <w:noProof/>
          <w:sz w:val="18"/>
        </w:rPr>
        <w:t>PROGRAMMA DEL CORSO</w:t>
      </w:r>
    </w:p>
    <w:p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 w:val="18"/>
          <w:szCs w:val="18"/>
        </w:rPr>
        <w:t>1</w:t>
      </w:r>
      <w:r>
        <w:rPr>
          <w:rFonts w:eastAsia="MS Mincho"/>
          <w:sz w:val="18"/>
          <w:szCs w:val="18"/>
        </w:rPr>
        <w:t>.</w:t>
      </w:r>
      <w:r>
        <w:rPr>
          <w:rFonts w:eastAsia="MS Mincho"/>
          <w:sz w:val="18"/>
          <w:szCs w:val="18"/>
        </w:rPr>
        <w:tab/>
      </w:r>
      <w:r w:rsidRPr="00F74EDF">
        <w:rPr>
          <w:rFonts w:eastAsia="MS Mincho"/>
          <w:szCs w:val="20"/>
        </w:rPr>
        <w:t>Introduzio</w:t>
      </w:r>
      <w:r>
        <w:rPr>
          <w:rFonts w:eastAsia="MS Mincho"/>
          <w:szCs w:val="20"/>
        </w:rPr>
        <w:t>ne al modulo e alla valutazione.</w:t>
      </w:r>
    </w:p>
    <w:p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2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Nozioni di base di analisi</w:t>
      </w:r>
      <w:r>
        <w:rPr>
          <w:rFonts w:eastAsia="MS Mincho"/>
          <w:szCs w:val="20"/>
        </w:rPr>
        <w:t xml:space="preserve"> delle reti sociali.</w:t>
      </w:r>
    </w:p>
    <w:p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3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 xml:space="preserve">Strategie di base </w:t>
      </w:r>
      <w:r>
        <w:rPr>
          <w:rFonts w:eastAsia="MS Mincho"/>
          <w:szCs w:val="20"/>
        </w:rPr>
        <w:t>di analisi delle reti.</w:t>
      </w:r>
    </w:p>
    <w:p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4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  <w:t>L’analisi delle reti criminali.</w:t>
      </w:r>
    </w:p>
    <w:p w:rsidR="00AE43D7" w:rsidRDefault="00AE43D7" w:rsidP="00AE43D7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5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Esercitazioni in laboratorio su raccolta, analisi ed interpretazione dei dati e dei risultati mediante l’uso di UCINET 6.</w:t>
      </w:r>
    </w:p>
    <w:p w:rsidR="00AE43D7" w:rsidRPr="00074A22" w:rsidRDefault="00AE43D7" w:rsidP="00AE43D7">
      <w:pPr>
        <w:spacing w:before="240" w:after="120" w:line="220" w:lineRule="exact"/>
        <w:rPr>
          <w:b/>
          <w:i/>
          <w:noProof/>
          <w:sz w:val="18"/>
        </w:rPr>
      </w:pPr>
      <w:r w:rsidRPr="00074A22">
        <w:rPr>
          <w:b/>
          <w:i/>
          <w:noProof/>
          <w:sz w:val="18"/>
        </w:rPr>
        <w:t>BIBLIOGRAFIA</w:t>
      </w:r>
    </w:p>
    <w:p w:rsidR="00AE43D7" w:rsidRPr="00B1365B" w:rsidRDefault="00AE43D7" w:rsidP="00AE43D7">
      <w:pPr>
        <w:tabs>
          <w:tab w:val="clear" w:pos="284"/>
        </w:tabs>
        <w:rPr>
          <w:rFonts w:eastAsia="MS Mincho"/>
        </w:rPr>
      </w:pPr>
      <w:r w:rsidRPr="00B1365B">
        <w:rPr>
          <w:rFonts w:eastAsia="MS Mincho"/>
        </w:rPr>
        <w:t xml:space="preserve">La bibliografia di riferimento è costituita da saggi e capitoli di libro in lingua inglese ed è aggiornata di anno in anno per garantire una preparazione avanzata. La bibliografia aggiornata sarà </w:t>
      </w:r>
      <w:proofErr w:type="spellStart"/>
      <w:r w:rsidRPr="00B1365B">
        <w:rPr>
          <w:rFonts w:eastAsia="MS Mincho"/>
        </w:rPr>
        <w:t>fornità</w:t>
      </w:r>
      <w:proofErr w:type="spellEnd"/>
      <w:r w:rsidRPr="00B1365B">
        <w:rPr>
          <w:rFonts w:eastAsia="MS Mincho"/>
        </w:rPr>
        <w:t xml:space="preserve"> a inizio corso tramite </w:t>
      </w:r>
      <w:proofErr w:type="spellStart"/>
      <w:r w:rsidRPr="00B1365B">
        <w:rPr>
          <w:rFonts w:eastAsia="MS Mincho"/>
        </w:rPr>
        <w:t>blackboard</w:t>
      </w:r>
      <w:proofErr w:type="spellEnd"/>
      <w:r w:rsidRPr="00B1365B">
        <w:rPr>
          <w:rFonts w:eastAsia="MS Mincho"/>
        </w:rPr>
        <w:t>. A mero titolo informativo si riporta la bibliografia per l’a.a. 2020-2021: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Bright, David A., Catherine Greenhill, Michael Reynolds, Alison Ritter, and Carlo Morselli. 2015. “The Use of Actor-Level Attributes and Centrality Measures to Identify Key Actors: A Case Study of an Australian Drug Trafficking Network.” Journal of Contemporary Criminal Justice 31(3):262–78.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Calderoni, Francesco, and Elisa Superchi. </w:t>
      </w:r>
      <w:r w:rsidRPr="004567CB">
        <w:rPr>
          <w:rFonts w:ascii="Times" w:hAnsi="Times"/>
          <w:noProof/>
          <w:sz w:val="18"/>
          <w:szCs w:val="20"/>
          <w:lang w:val="en-US"/>
        </w:rPr>
        <w:t>2019. ‘The Nature of Organized Crime Leadership: Criminal Leaders in Meeting and Wiretap Networks’. Crime, Law and Social Change 72 (4): 419–44. https://doi.org/10.1007/s10611-019-09829-6.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lastRenderedPageBreak/>
        <w:t>Calderoni, Francesco. 2012. “The Structure of Drug Trafficking Mafias: The ‘Ndrangheta and Cocaine.” Crime, Law and Social Change 58(3):321–49.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2014a. ‘Social Network Analysis of Organized Criminal Groups’. In Encyclopedia of Criminology and Criminal Justice, edited by Gerben Bruinsma and David Weisburd, 4972–81. New York: Springer. </w:t>
      </w:r>
    </w:p>
    <w:p w:rsidR="00AE43D7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Calderoni, Francesco. 2014b. ‘Strategic Positioning in Mafia Networks’. </w:t>
      </w:r>
      <w:r w:rsidRPr="004567CB">
        <w:rPr>
          <w:rFonts w:ascii="Times" w:hAnsi="Times"/>
          <w:noProof/>
          <w:sz w:val="18"/>
          <w:szCs w:val="20"/>
          <w:lang w:val="en-US"/>
        </w:rPr>
        <w:t xml:space="preserve">In Crime and Networks, edited by Carlo Morselli, 163–81. Criminology and Justice Studies. New York: Routledge. 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2014c. “Identifying Mafia Bosses from Meeting Attendance.” Pp. 27–48 in Networks and Network Analysis for Defence and Security, edited by A. J. Masys. Cham: Springer International Publishing Switzerland. </w:t>
      </w:r>
    </w:p>
    <w:p w:rsidR="00AE43D7" w:rsidRPr="0066780F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2015. ‘Predicting Organized Crime Leaders’. In Disrupting Criminal Networks: Network Analysis in Crime Prevention, edited by Gisela Bichler and Aili E. Malm, 89–110. </w:t>
      </w:r>
      <w:r w:rsidRPr="0066780F">
        <w:rPr>
          <w:rFonts w:ascii="Times" w:hAnsi="Times"/>
          <w:noProof/>
          <w:sz w:val="18"/>
          <w:szCs w:val="20"/>
        </w:rPr>
        <w:t xml:space="preserve">Crime Prevention Studies 28. Boulder: Lynne Rienner Publishers. </w:t>
      </w:r>
    </w:p>
    <w:p w:rsidR="00AE43D7" w:rsidRPr="0066780F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66780F">
        <w:rPr>
          <w:rFonts w:ascii="Times" w:hAnsi="Times"/>
          <w:noProof/>
          <w:sz w:val="18"/>
          <w:szCs w:val="20"/>
        </w:rPr>
        <w:t xml:space="preserve">Calderoni, Francesco. </w:t>
      </w:r>
      <w:r w:rsidRPr="004567CB">
        <w:rPr>
          <w:rFonts w:ascii="Times" w:hAnsi="Times"/>
          <w:noProof/>
          <w:sz w:val="18"/>
          <w:szCs w:val="20"/>
        </w:rPr>
        <w:t xml:space="preserve">2018. Le reti delle mafie. Le relazioni sociali e la complessità delle organizzazioni criminali. </w:t>
      </w:r>
      <w:r w:rsidRPr="0066780F">
        <w:rPr>
          <w:rFonts w:ascii="Times" w:hAnsi="Times"/>
          <w:noProof/>
          <w:sz w:val="18"/>
          <w:szCs w:val="20"/>
        </w:rPr>
        <w:t>Milano: Vita e Pensiero. Capitoli I, IV and V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</w:rPr>
        <w:t xml:space="preserve">Gravel, Jason, and George E. Tita. 2017. </w:t>
      </w:r>
      <w:r w:rsidRPr="004567CB">
        <w:rPr>
          <w:rFonts w:ascii="Times" w:hAnsi="Times"/>
          <w:noProof/>
          <w:sz w:val="18"/>
          <w:szCs w:val="20"/>
          <w:lang w:val="en-US"/>
        </w:rPr>
        <w:t xml:space="preserve">“Network Perspectives on Crime.” Oxford Research Encyclopedia of Criminology. Oxford: Oxford University Press. http://criminology.oxfordre.com/view/10.1093/acrefore/9780190264079.001.0001/acrefore-9780190264079-e-251. 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Krebs, Valdis E. 2002. “Mapping Networks of Terrorist Cells.” Connections 24(3):43–52.</w:t>
      </w:r>
    </w:p>
    <w:p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Morselli, Carlo, Cynthia Giguère, and Katia Petit. </w:t>
      </w:r>
      <w:r w:rsidRPr="004567CB">
        <w:rPr>
          <w:rFonts w:ascii="Times" w:hAnsi="Times"/>
          <w:noProof/>
          <w:sz w:val="18"/>
          <w:szCs w:val="20"/>
          <w:lang w:val="en-US"/>
        </w:rPr>
        <w:t>2007. “The Efficiency/Security Trade-off in Criminal Networks.” Social Networks 29 (1): 143–53.</w:t>
      </w:r>
    </w:p>
    <w:p w:rsidR="00AE43D7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Morselli, Carlo. 2009. “Hells Angels in Springtime.” Trends in Organized Crime 12(2):145–58</w:t>
      </w:r>
    </w:p>
    <w:p w:rsidR="00AE43D7" w:rsidRDefault="00AE43D7" w:rsidP="00AE43D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DIDATTICA DEL CORSO</w:t>
      </w:r>
    </w:p>
    <w:p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rFonts w:ascii="Times" w:hAnsi="Times"/>
          <w:noProof/>
          <w:sz w:val="18"/>
          <w:szCs w:val="20"/>
        </w:rPr>
        <w:t xml:space="preserve">La didattica </w:t>
      </w:r>
      <w:r>
        <w:rPr>
          <w:rFonts w:ascii="Times" w:hAnsi="Times"/>
          <w:noProof/>
          <w:sz w:val="18"/>
          <w:szCs w:val="20"/>
        </w:rPr>
        <w:t xml:space="preserve">prevede lezioni frontali, </w:t>
      </w:r>
      <w:r w:rsidRPr="00F74EDF">
        <w:rPr>
          <w:rFonts w:ascii="Times" w:hAnsi="Times"/>
          <w:noProof/>
          <w:sz w:val="18"/>
          <w:szCs w:val="20"/>
        </w:rPr>
        <w:t xml:space="preserve">discussione di paper e casi di studio. Nel laboratorio, </w:t>
      </w:r>
      <w:r w:rsidRPr="00F74EDF">
        <w:rPr>
          <w:noProof/>
          <w:sz w:val="18"/>
          <w:szCs w:val="18"/>
        </w:rPr>
        <w:t>è previsto l’addestramento all’utilizzo di software dedicati (</w:t>
      </w:r>
      <w:r>
        <w:rPr>
          <w:noProof/>
          <w:sz w:val="18"/>
          <w:szCs w:val="18"/>
        </w:rPr>
        <w:t xml:space="preserve">normalmente </w:t>
      </w:r>
      <w:r w:rsidRPr="00F74EDF">
        <w:rPr>
          <w:noProof/>
          <w:sz w:val="18"/>
          <w:szCs w:val="18"/>
        </w:rPr>
        <w:t xml:space="preserve">UCINET 6). </w:t>
      </w:r>
    </w:p>
    <w:p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rFonts w:ascii="Times" w:hAnsi="Times"/>
          <w:noProof/>
          <w:sz w:val="18"/>
          <w:szCs w:val="20"/>
        </w:rPr>
        <w:t>Ad eccezione della lezione introduttiva, il corso è tenuto in lingua inglese.</w:t>
      </w:r>
    </w:p>
    <w:p w:rsidR="00AE43D7" w:rsidRDefault="00AE43D7" w:rsidP="00AE43D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F52F8A">
        <w:rPr>
          <w:rFonts w:eastAsia="Calibri"/>
          <w:b/>
          <w:i/>
          <w:sz w:val="18"/>
          <w:lang w:eastAsia="en-US"/>
        </w:rPr>
        <w:t xml:space="preserve">METODO </w:t>
      </w:r>
      <w:r w:rsidRPr="00F52F8A">
        <w:rPr>
          <w:b/>
          <w:i/>
          <w:sz w:val="18"/>
        </w:rPr>
        <w:t xml:space="preserve">E CRITERI </w:t>
      </w:r>
      <w:r w:rsidRPr="00F52F8A">
        <w:rPr>
          <w:rFonts w:eastAsia="Calibri"/>
          <w:b/>
          <w:i/>
          <w:sz w:val="18"/>
          <w:lang w:eastAsia="en-US"/>
        </w:rPr>
        <w:t>DI VALUTAZIONE</w:t>
      </w:r>
    </w:p>
    <w:p w:rsidR="00AE43D7" w:rsidRPr="00F74EDF" w:rsidRDefault="00AE43D7" w:rsidP="00AE43D7">
      <w:pPr>
        <w:pStyle w:val="Testo2"/>
      </w:pPr>
      <w:r w:rsidRPr="00F74EDF">
        <w:t xml:space="preserve">La prova </w:t>
      </w:r>
      <w:r>
        <w:t xml:space="preserve">del modulo </w:t>
      </w:r>
      <w:r w:rsidRPr="00F74EDF">
        <w:t>è in forma scritta, si svolge in aula informatica con l’ausilio di blackboard e si divide in due parti:</w:t>
      </w:r>
    </w:p>
    <w:p w:rsidR="00AE43D7" w:rsidRPr="00F74EDF" w:rsidRDefault="00AE43D7" w:rsidP="00AE43D7">
      <w:pPr>
        <w:pStyle w:val="Testo2"/>
        <w:ind w:left="567" w:hanging="283"/>
      </w:pPr>
      <w:r>
        <w:t>1.</w:t>
      </w:r>
      <w:r>
        <w:tab/>
      </w:r>
      <w:r w:rsidRPr="00F74EDF">
        <w:t xml:space="preserve">una domanda a risposta aperta in </w:t>
      </w:r>
      <w:r>
        <w:t>20</w:t>
      </w:r>
      <w:r w:rsidRPr="00F74EDF">
        <w:t xml:space="preserve"> minuti. La domanda riceverà un punteggio da 0 a 10 punti. </w:t>
      </w:r>
    </w:p>
    <w:p w:rsidR="00AE43D7" w:rsidRPr="00F74EDF" w:rsidRDefault="00AE43D7" w:rsidP="00AE43D7">
      <w:pPr>
        <w:pStyle w:val="Testo2"/>
        <w:ind w:left="567" w:hanging="283"/>
      </w:pPr>
      <w:r>
        <w:t>2.</w:t>
      </w:r>
      <w:r>
        <w:tab/>
      </w:r>
      <w:r w:rsidRPr="00F74EDF">
        <w:t xml:space="preserve">Esercizi sull’analisi di rete in 90 minuti. Gli esercizi riceveranno complessivamente un punteggio da 0 a 22. </w:t>
      </w:r>
    </w:p>
    <w:p w:rsidR="00AE43D7" w:rsidRPr="00F74EDF" w:rsidRDefault="00AE43D7" w:rsidP="00AE43D7">
      <w:pPr>
        <w:pStyle w:val="Testo2"/>
        <w:spacing w:before="120"/>
      </w:pPr>
      <w:r w:rsidRPr="00F74EDF">
        <w:t xml:space="preserve">Il voto della prova è determinato dalla somma dei punteggi totalizzati nelle due parti. Punteggi superiori a 30 corrispondono a un voto di 30 e lode. </w:t>
      </w:r>
    </w:p>
    <w:p w:rsidR="00AE43D7" w:rsidRDefault="00AE43D7" w:rsidP="00AE43D7">
      <w:pPr>
        <w:pStyle w:val="Testo2"/>
      </w:pPr>
      <w:r w:rsidRPr="00F74EDF">
        <w:t xml:space="preserve">Non è possibile risostenere la prova </w:t>
      </w:r>
      <w:r>
        <w:t xml:space="preserve">del modulo </w:t>
      </w:r>
      <w:r w:rsidRPr="00F74EDF">
        <w:t>in caso di esito positivo.</w:t>
      </w:r>
    </w:p>
    <w:p w:rsidR="00AE43D7" w:rsidRPr="00F74EDF" w:rsidRDefault="00AE43D7" w:rsidP="00AE43D7">
      <w:pPr>
        <w:pStyle w:val="Testo2"/>
      </w:pPr>
      <w:r>
        <w:t xml:space="preserve">Il voto finale dell’insegnamento è determinato dalla media artimetica delle prove dei due moduli, a condizione che in entrambi si sia riportato un voto pari o superiore a 18. A tal fine, 30 e lode corrisponde a 31. La media è arrotondata per eccesso. </w:t>
      </w:r>
    </w:p>
    <w:p w:rsidR="00AE43D7" w:rsidRDefault="00AE43D7" w:rsidP="00AE43D7">
      <w:pPr>
        <w:spacing w:before="240" w:after="120"/>
        <w:rPr>
          <w:b/>
          <w:i/>
          <w:sz w:val="18"/>
        </w:rPr>
      </w:pPr>
      <w:r w:rsidRPr="009D2F70">
        <w:rPr>
          <w:b/>
          <w:i/>
          <w:sz w:val="18"/>
        </w:rPr>
        <w:t>AVVERTENZE E PREREQUISITI</w:t>
      </w:r>
    </w:p>
    <w:p w:rsidR="00AE43D7" w:rsidRDefault="00AE43D7" w:rsidP="00AE43D7">
      <w:pPr>
        <w:pStyle w:val="Testo2"/>
      </w:pPr>
      <w:r>
        <w:t xml:space="preserve"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 </w:t>
      </w:r>
    </w:p>
    <w:p w:rsidR="00AE43D7" w:rsidRPr="00E535A2" w:rsidRDefault="00AE43D7" w:rsidP="00AE43D7">
      <w:pPr>
        <w:pStyle w:val="Testo2"/>
      </w:pPr>
      <w:r w:rsidRPr="00E535A2">
        <w:t xml:space="preserve">La frequenza è altamente consigliata, in considerazione della natura </w:t>
      </w:r>
      <w:r>
        <w:t>applicata (utilizzo di software di analisi di rete)</w:t>
      </w:r>
      <w:r w:rsidRPr="00E535A2">
        <w:t xml:space="preserve"> e in costante cambiamento degli argomenti. Ogni anno </w:t>
      </w:r>
      <w:r>
        <w:t>la bibliografia è aggiornata</w:t>
      </w:r>
      <w:r w:rsidRPr="00E535A2">
        <w:t xml:space="preserve"> per tenere il passo con gli sviluppi e le innovazioni </w:t>
      </w:r>
      <w:r>
        <w:t>delle analisi delle reti criminali</w:t>
      </w:r>
      <w:r w:rsidRPr="00E535A2">
        <w:t xml:space="preserve">. </w:t>
      </w:r>
      <w:r>
        <w:rPr>
          <w:szCs w:val="18"/>
        </w:rPr>
        <w:t>Per questo motivo gli studenti che non hanno superato la prova entro gli otto appelli previsti (da giugno a febbraio dell’anno successivo a quello di frequenza) dovranno attenersi al programma e alle modalità di esame del corso erogato nell’a.a. successivo.</w:t>
      </w:r>
    </w:p>
    <w:p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Programma aggiornato, bibliografia, istruzioni e altri documenti saranno pubblicati sulla pagina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del corso. La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sarà anche lo strumento per comunicare cambi di orari, informazioni sugli esami e altro. Tutti gli studenti (frequentanti e non, in corso e fuori corso) sono invitati ad iscriversi al </w:t>
      </w:r>
      <w:r w:rsidRPr="00F74EDF">
        <w:rPr>
          <w:noProof/>
          <w:sz w:val="18"/>
          <w:szCs w:val="18"/>
        </w:rPr>
        <w:lastRenderedPageBreak/>
        <w:t xml:space="preserve">corso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e a tenersi aggiornati (inserendo gentilmente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un proprio indirizzo e-mail che indichi chiaramente nome e cognome).</w:t>
      </w:r>
    </w:p>
    <w:p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Per un’utile frequenza del modulo, lo studente dovrà possedere le conoscenze di base della metodologia della ricerca criminologica, nonché delle teorie e della ricerca empirica sulla criminalità organizzata (acquisite nei corsi del primo anno di Metodi e tecniche della ricerca criminologica e Criminologia applicata). Sono inoltre necessarie conoscenze di base di utilizzo del computer e di analisi con fogli di calcolo (es. Microsoft Excel). Queste conoscenze sono acquisite nel primo anno a in particolare negli insegnamenti di </w:t>
      </w:r>
      <w:r w:rsidRPr="00711591">
        <w:rPr>
          <w:noProof/>
          <w:sz w:val="18"/>
          <w:szCs w:val="18"/>
        </w:rPr>
        <w:t>Metodologie per la valutazione delle politiche</w:t>
      </w:r>
      <w:r>
        <w:rPr>
          <w:noProof/>
          <w:sz w:val="18"/>
          <w:szCs w:val="18"/>
        </w:rPr>
        <w:t xml:space="preserve"> </w:t>
      </w:r>
      <w:r w:rsidRPr="00711591">
        <w:rPr>
          <w:noProof/>
          <w:sz w:val="18"/>
          <w:szCs w:val="18"/>
        </w:rPr>
        <w:t>e tecniche per le decisioni</w:t>
      </w:r>
      <w:r>
        <w:rPr>
          <w:noProof/>
          <w:sz w:val="18"/>
          <w:szCs w:val="18"/>
        </w:rPr>
        <w:t xml:space="preserve"> e laboratori associati. </w:t>
      </w:r>
    </w:p>
    <w:p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È consigliato avere a disposizione un computer con sistema operativo Windows, poiché i software di analisi reticolare sono di difficile utilizzo su altri sistemi operativi. </w:t>
      </w:r>
    </w:p>
    <w:p w:rsidR="00AE43D7" w:rsidRPr="00F74EDF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:rsidR="00AE43D7" w:rsidRPr="003C1D4E" w:rsidRDefault="00AE43D7" w:rsidP="00AE43D7">
      <w:pPr>
        <w:pStyle w:val="Testo2"/>
        <w:spacing w:before="120"/>
        <w:rPr>
          <w:i/>
        </w:rPr>
      </w:pPr>
      <w:r w:rsidRPr="003C1D4E">
        <w:rPr>
          <w:i/>
        </w:rPr>
        <w:t>Orario e luogo di ricevimento</w:t>
      </w:r>
    </w:p>
    <w:p w:rsidR="003C1D4E" w:rsidRPr="003C1D4E" w:rsidRDefault="00AE43D7" w:rsidP="00AE43D7">
      <w:pPr>
        <w:pStyle w:val="Testo2"/>
      </w:pPr>
      <w:r w:rsidRPr="00DA5059">
        <w:t xml:space="preserve">Il Prof. Francesco Calderoni riceve gli studenti su appuntamento </w:t>
      </w:r>
      <w:r w:rsidRPr="00F13544">
        <w:t xml:space="preserve">in remoto o in presenza </w:t>
      </w:r>
      <w:r w:rsidRPr="00DA5059">
        <w:t>presso gli uffici di TRANSCRIME (</w:t>
      </w:r>
      <w:r>
        <w:t>Via S. Vittore 43</w:t>
      </w:r>
      <w:r w:rsidRPr="00DA5059">
        <w:t xml:space="preserve">, piano </w:t>
      </w:r>
      <w:r>
        <w:t>interrato</w:t>
      </w:r>
      <w:r w:rsidRPr="00DA5059">
        <w:t xml:space="preserve">). Per appuntamento indirizzare e-mail a: </w:t>
      </w:r>
      <w:r w:rsidRPr="00517610">
        <w:rPr>
          <w:i/>
        </w:rPr>
        <w:t>francesco.calderoni@unicatt.it</w:t>
      </w:r>
      <w:r w:rsidRPr="00DA5059">
        <w:t>.</w:t>
      </w:r>
    </w:p>
    <w:sectPr w:rsidR="003C1D4E" w:rsidRPr="003C1D4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090F"/>
    <w:multiLevelType w:val="hybridMultilevel"/>
    <w:tmpl w:val="62FCD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B0A79"/>
    <w:multiLevelType w:val="hybridMultilevel"/>
    <w:tmpl w:val="49D8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2"/>
    <w:rsid w:val="001250CE"/>
    <w:rsid w:val="001850AE"/>
    <w:rsid w:val="00187B99"/>
    <w:rsid w:val="002014DD"/>
    <w:rsid w:val="0021271A"/>
    <w:rsid w:val="00282502"/>
    <w:rsid w:val="002D5E17"/>
    <w:rsid w:val="002F5740"/>
    <w:rsid w:val="00312EFA"/>
    <w:rsid w:val="00322552"/>
    <w:rsid w:val="003C1D4E"/>
    <w:rsid w:val="003E1960"/>
    <w:rsid w:val="003F48CE"/>
    <w:rsid w:val="004052D1"/>
    <w:rsid w:val="004421A9"/>
    <w:rsid w:val="004D1217"/>
    <w:rsid w:val="004D6008"/>
    <w:rsid w:val="005B487F"/>
    <w:rsid w:val="00640794"/>
    <w:rsid w:val="006C12DA"/>
    <w:rsid w:val="006F01CD"/>
    <w:rsid w:val="006F1772"/>
    <w:rsid w:val="00711591"/>
    <w:rsid w:val="007820C2"/>
    <w:rsid w:val="007A4CC4"/>
    <w:rsid w:val="007A66CE"/>
    <w:rsid w:val="008942E7"/>
    <w:rsid w:val="008A1204"/>
    <w:rsid w:val="008E7398"/>
    <w:rsid w:val="00900CCA"/>
    <w:rsid w:val="009164A8"/>
    <w:rsid w:val="00924B77"/>
    <w:rsid w:val="00940DA2"/>
    <w:rsid w:val="009E055C"/>
    <w:rsid w:val="00A74F6F"/>
    <w:rsid w:val="00AD7557"/>
    <w:rsid w:val="00AE43D7"/>
    <w:rsid w:val="00AF0FFF"/>
    <w:rsid w:val="00B50C5D"/>
    <w:rsid w:val="00B51253"/>
    <w:rsid w:val="00B525CC"/>
    <w:rsid w:val="00B80A22"/>
    <w:rsid w:val="00C1792C"/>
    <w:rsid w:val="00CF7FAC"/>
    <w:rsid w:val="00D404F2"/>
    <w:rsid w:val="00D449D1"/>
    <w:rsid w:val="00D56482"/>
    <w:rsid w:val="00D87ACD"/>
    <w:rsid w:val="00E607E6"/>
    <w:rsid w:val="00E67B9F"/>
    <w:rsid w:val="00E748EF"/>
    <w:rsid w:val="00EB5710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AE065"/>
  <w15:chartTrackingRefBased/>
  <w15:docId w15:val="{94D5907D-C65D-472B-B206-386DD2F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D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1960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312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1385-B27F-4DD2-806C-20663F0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7</Pages>
  <Words>2499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Paoluzzi Cristiano</cp:lastModifiedBy>
  <cp:revision>2</cp:revision>
  <cp:lastPrinted>2003-03-27T10:42:00Z</cp:lastPrinted>
  <dcterms:created xsi:type="dcterms:W3CDTF">2021-05-18T13:04:00Z</dcterms:created>
  <dcterms:modified xsi:type="dcterms:W3CDTF">2021-05-18T13:04:00Z</dcterms:modified>
</cp:coreProperties>
</file>