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E94577" w:rsidP="00E94577">
      <w:pPr>
        <w:pStyle w:val="Titolo1"/>
        <w:rPr>
          <w:rFonts w:eastAsia="Arial"/>
        </w:rPr>
      </w:pPr>
      <w:r w:rsidRPr="00E94577">
        <w:rPr>
          <w:rFonts w:eastAsia="Arial"/>
        </w:rPr>
        <w:t>Finanza pubblica e modelli di welfare</w:t>
      </w:r>
    </w:p>
    <w:p w:rsidR="00E94577" w:rsidRDefault="00E94577" w:rsidP="00E94577">
      <w:pPr>
        <w:pStyle w:val="Titolo2"/>
        <w:rPr>
          <w:rFonts w:eastAsia="Arial"/>
        </w:rPr>
      </w:pPr>
      <w:r>
        <w:rPr>
          <w:rFonts w:eastAsia="Arial"/>
        </w:rPr>
        <w:t>Prof. Gianpaolo Barbetta</w:t>
      </w:r>
    </w:p>
    <w:p w:rsidR="00E94577" w:rsidRDefault="00E94577" w:rsidP="00E94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7164E">
        <w:rPr>
          <w:b/>
          <w:i/>
          <w:sz w:val="18"/>
        </w:rPr>
        <w:t xml:space="preserve"> E RISULTATI DI APPRENDIMENTO ATTESI</w:t>
      </w:r>
    </w:p>
    <w:p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si propone di far comprendere agli studenti le ragioni fondamentali dell’esistenza dei moderni di sistemi di welfare e le loro caratteristiche principali, indagando il funzionamento dei sistemi e gli strumenti utilizzati dai diversi attori, sia pubblici che privati.</w:t>
      </w:r>
    </w:p>
    <w:p w:rsidR="00D7164E" w:rsidRPr="00C8717D" w:rsidRDefault="00D7164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Al termine dell’insegnamento</w:t>
      </w:r>
      <w:r w:rsidR="00AD52F2" w:rsidRPr="00C8717D">
        <w:rPr>
          <w:rFonts w:eastAsia="Arial"/>
          <w:szCs w:val="20"/>
        </w:rPr>
        <w:t>,</w:t>
      </w:r>
      <w:r w:rsidRPr="00C8717D">
        <w:rPr>
          <w:rFonts w:eastAsia="Arial"/>
          <w:szCs w:val="20"/>
        </w:rPr>
        <w:t xml:space="preserve"> lo studente </w:t>
      </w:r>
      <w:r w:rsidR="00AD52F2" w:rsidRPr="00C8717D">
        <w:rPr>
          <w:rFonts w:eastAsia="Arial"/>
          <w:szCs w:val="20"/>
        </w:rPr>
        <w:t xml:space="preserve">conoscerà i principali programmi di welfare italiani e comprenderà le ragioni economiche della loro esistenza. Sarà in grado di valutare i singoli programmi dal punto di vista della loro capacità di promuovere efficienza economica ed equità. </w:t>
      </w:r>
    </w:p>
    <w:p w:rsidR="00E94577" w:rsidRDefault="00E94577" w:rsidP="00E94577">
      <w:pPr>
        <w:spacing w:before="240" w:after="120"/>
        <w:rPr>
          <w:rFonts w:eastAsia="Arial"/>
          <w:b/>
          <w:sz w:val="18"/>
        </w:rPr>
      </w:pPr>
      <w:r>
        <w:rPr>
          <w:rFonts w:eastAsia="Arial"/>
          <w:b/>
          <w:i/>
          <w:sz w:val="18"/>
        </w:rPr>
        <w:t>PROGRAMMA DEL CORSO</w:t>
      </w:r>
    </w:p>
    <w:p w:rsidR="00AD52F2" w:rsidRPr="00C8717D" w:rsidRDefault="00AD52F2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affronterà i seguenti aspetti: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1.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Perché esistono i sistemi di welfare?</w:t>
      </w:r>
    </w:p>
    <w:p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2.</w:t>
      </w:r>
      <w:r w:rsidR="008E268E" w:rsidRPr="00C8717D">
        <w:rPr>
          <w:rFonts w:eastAsia="Arial"/>
          <w:szCs w:val="20"/>
        </w:rPr>
        <w:tab/>
      </w:r>
      <w:r w:rsidRPr="00C8717D">
        <w:rPr>
          <w:rFonts w:eastAsia="Arial"/>
          <w:szCs w:val="20"/>
        </w:rPr>
        <w:t>Il welfare nella sanità.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3.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istruzione.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4.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previdenza.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5.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nei servizi sociali.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6.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Gli strumenti di intervento.</w:t>
      </w:r>
    </w:p>
    <w:p w:rsidR="00E94577" w:rsidRPr="008E268E" w:rsidRDefault="00E94577" w:rsidP="008E268E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BIBLIOGRAFIA</w:t>
      </w:r>
      <w:r w:rsidR="006209C8">
        <w:rPr>
          <w:rStyle w:val="Rimandonotaapidipagina"/>
          <w:rFonts w:eastAsia="Arial"/>
          <w:b/>
          <w:i/>
          <w:sz w:val="18"/>
        </w:rPr>
        <w:footnoteReference w:id="1"/>
      </w:r>
    </w:p>
    <w:p w:rsidR="00AD52F2" w:rsidRPr="000E5968" w:rsidRDefault="00AD52F2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generale:</w:t>
      </w:r>
    </w:p>
    <w:p w:rsidR="00E94577" w:rsidRPr="000E5968" w:rsidRDefault="008E268E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 xml:space="preserve">J. </w:t>
      </w:r>
      <w:r w:rsidR="00E94577" w:rsidRPr="000E5968">
        <w:rPr>
          <w:rFonts w:eastAsia="Arial"/>
          <w:smallCaps/>
          <w:spacing w:val="-5"/>
          <w:sz w:val="18"/>
          <w:szCs w:val="20"/>
        </w:rPr>
        <w:t>Stiglitz</w:t>
      </w:r>
      <w:r w:rsidRPr="000E5968">
        <w:rPr>
          <w:rFonts w:eastAsia="Arial"/>
          <w:smallCaps/>
          <w:spacing w:val="-5"/>
          <w:sz w:val="18"/>
          <w:szCs w:val="20"/>
        </w:rPr>
        <w:t>,</w:t>
      </w:r>
      <w:r w:rsidR="00E94577" w:rsidRPr="000E5968">
        <w:rPr>
          <w:rFonts w:eastAsia="Arial"/>
          <w:smallCaps/>
          <w:spacing w:val="-5"/>
          <w:sz w:val="18"/>
          <w:szCs w:val="20"/>
        </w:rPr>
        <w:t xml:space="preserve"> </w:t>
      </w:r>
      <w:r w:rsidR="00E94577" w:rsidRPr="000E5968">
        <w:rPr>
          <w:rFonts w:eastAsia="Arial"/>
          <w:i/>
          <w:spacing w:val="-5"/>
          <w:sz w:val="18"/>
          <w:szCs w:val="20"/>
        </w:rPr>
        <w:t>Economia del settore pubblico,</w:t>
      </w:r>
      <w:r w:rsidR="00E94577" w:rsidRPr="000E5968">
        <w:rPr>
          <w:rFonts w:eastAsia="Arial"/>
          <w:spacing w:val="-5"/>
          <w:sz w:val="18"/>
          <w:szCs w:val="20"/>
        </w:rPr>
        <w:t xml:space="preserve"> Volume I </w:t>
      </w:r>
      <w:r w:rsidR="00AD52F2" w:rsidRPr="000E5968">
        <w:rPr>
          <w:rFonts w:eastAsia="Arial"/>
          <w:spacing w:val="-5"/>
          <w:sz w:val="18"/>
          <w:szCs w:val="20"/>
        </w:rPr>
        <w:t>(limitatamente ai capitoli 1.1, 2.1, 2.2, 3, 5, 8) e Volume II (limitatamente ai capitoli 1, 2.1, 2.2, 2.3, 2.4, 2.5, 4, 5, 6, 7)</w:t>
      </w:r>
      <w:r w:rsidR="00E94577" w:rsidRPr="000E5968">
        <w:rPr>
          <w:rFonts w:eastAsia="Arial"/>
          <w:spacing w:val="-5"/>
          <w:sz w:val="18"/>
          <w:szCs w:val="20"/>
        </w:rPr>
        <w:t>, Hoepli</w:t>
      </w:r>
      <w:r w:rsidRPr="000E5968">
        <w:rPr>
          <w:rFonts w:eastAsia="Arial"/>
          <w:spacing w:val="-5"/>
          <w:sz w:val="18"/>
          <w:szCs w:val="20"/>
        </w:rPr>
        <w:t>, 2003 e 2004</w:t>
      </w:r>
      <w:r w:rsidR="00E94577" w:rsidRPr="000E5968">
        <w:rPr>
          <w:rFonts w:eastAsia="Arial"/>
          <w:spacing w:val="-5"/>
          <w:sz w:val="18"/>
          <w:szCs w:val="20"/>
        </w:rPr>
        <w:t>.</w:t>
      </w:r>
      <w:r w:rsidR="006209C8">
        <w:rPr>
          <w:rFonts w:eastAsia="Arial"/>
          <w:spacing w:val="-5"/>
          <w:sz w:val="18"/>
          <w:szCs w:val="20"/>
        </w:rPr>
        <w:t xml:space="preserve"> </w:t>
      </w:r>
      <w:hyperlink r:id="rId9" w:history="1">
        <w:r w:rsidR="006209C8" w:rsidRPr="006209C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D52F2" w:rsidRPr="000E5968" w:rsidRDefault="00AD52F2" w:rsidP="00AD52F2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Monografica:</w:t>
      </w:r>
    </w:p>
    <w:p w:rsidR="00C93AF6" w:rsidRPr="000E5968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</w:rPr>
      </w:pPr>
      <w:r w:rsidRPr="000E5968">
        <w:rPr>
          <w:rFonts w:ascii="Times New Roman" w:eastAsia="Arial" w:hAnsi="Times New Roman"/>
          <w:smallCaps/>
          <w:spacing w:val="-5"/>
        </w:rPr>
        <w:t>C. Arnsperger-P. Van Parijs (2003),</w:t>
      </w:r>
      <w:r w:rsidRPr="000E5968">
        <w:rPr>
          <w:rFonts w:ascii="Times New Roman" w:eastAsia="Arial" w:hAnsi="Times New Roman"/>
          <w:i/>
          <w:spacing w:val="-5"/>
        </w:rPr>
        <w:t xml:space="preserve"> Quanta disuguaglianza possiamo accettare?,</w:t>
      </w:r>
      <w:r w:rsidRPr="000E5968">
        <w:rPr>
          <w:rFonts w:ascii="Times New Roman" w:eastAsia="Arial" w:hAnsi="Times New Roman"/>
          <w:spacing w:val="-5"/>
        </w:rPr>
        <w:t xml:space="preserve"> Il Mulino, Bologna.</w:t>
      </w:r>
    </w:p>
    <w:p w:rsidR="00C93AF6" w:rsidRPr="000E5968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  <w:lang w:val="en-US"/>
        </w:rPr>
      </w:pPr>
      <w:r w:rsidRPr="000E5968">
        <w:rPr>
          <w:rFonts w:ascii="Times New Roman" w:eastAsia="Arial" w:hAnsi="Times New Roman"/>
          <w:smallCaps/>
          <w:spacing w:val="-5"/>
          <w:lang w:val="en-US"/>
        </w:rPr>
        <w:t xml:space="preserve">S. Rosen-I. Sanne-A. Collier-J.L. Simon, </w:t>
      </w:r>
      <w:r w:rsidRPr="000E5968">
        <w:rPr>
          <w:rFonts w:ascii="Times New Roman" w:eastAsia="Arial" w:hAnsi="Times New Roman"/>
          <w:i/>
          <w:spacing w:val="-5"/>
          <w:lang w:val="en-US"/>
        </w:rPr>
        <w:t>Hard choices: rationing antiretroviral therapy for HIV/AIDS in Africa,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 (2005) in </w:t>
      </w:r>
      <w:r w:rsidRPr="000E5968">
        <w:rPr>
          <w:rFonts w:ascii="Times New Roman" w:eastAsia="Arial" w:hAnsi="Times New Roman"/>
          <w:i/>
          <w:spacing w:val="-5"/>
          <w:lang w:val="en-US"/>
        </w:rPr>
        <w:t>Lancet</w:t>
      </w:r>
      <w:r w:rsidRPr="000E5968">
        <w:rPr>
          <w:rFonts w:ascii="Times New Roman" w:eastAsia="Arial" w:hAnsi="Times New Roman"/>
          <w:spacing w:val="-5"/>
          <w:lang w:val="en-US"/>
        </w:rPr>
        <w:t>, n. 365.</w:t>
      </w:r>
    </w:p>
    <w:p w:rsidR="00C93AF6" w:rsidRPr="00C93AF6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  <w:sz w:val="20"/>
          <w:lang w:val="en-US"/>
        </w:rPr>
      </w:pPr>
      <w:r w:rsidRPr="000E5968">
        <w:rPr>
          <w:rFonts w:ascii="Times New Roman" w:eastAsia="Arial" w:hAnsi="Times New Roman"/>
          <w:smallCaps/>
          <w:spacing w:val="-5"/>
          <w:lang w:val="en-US"/>
        </w:rPr>
        <w:lastRenderedPageBreak/>
        <w:t xml:space="preserve">L.J. McGough-S.J. Reynolds-T.C. Quinn-J.M. Zenilman </w:t>
      </w:r>
      <w:r w:rsidRPr="000E5968">
        <w:rPr>
          <w:rFonts w:ascii="Times New Roman" w:eastAsia="Arial" w:hAnsi="Times New Roman"/>
          <w:i/>
          <w:spacing w:val="-5"/>
          <w:lang w:val="en-US"/>
        </w:rPr>
        <w:t>Which patients first? Setting priorities for antiretroviral therapy where resources are limited,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 (2005),</w:t>
      </w:r>
      <w:r w:rsidRPr="000E5968">
        <w:rPr>
          <w:rFonts w:ascii="Times New Roman" w:eastAsia="Arial" w:hAnsi="Times New Roman"/>
          <w:i/>
          <w:spacing w:val="-5"/>
          <w:lang w:val="en-US"/>
        </w:rPr>
        <w:t xml:space="preserve"> 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in </w:t>
      </w:r>
      <w:r w:rsidRPr="000E5968">
        <w:rPr>
          <w:rFonts w:ascii="Times New Roman" w:eastAsia="Arial" w:hAnsi="Times New Roman"/>
          <w:i/>
          <w:spacing w:val="-5"/>
          <w:lang w:val="en-US"/>
        </w:rPr>
        <w:t>American Journal of Public Health</w:t>
      </w:r>
      <w:r w:rsidRPr="000E5968">
        <w:rPr>
          <w:rFonts w:ascii="Times New Roman" w:eastAsia="Arial" w:hAnsi="Times New Roman"/>
          <w:spacing w:val="-5"/>
          <w:lang w:val="en-US"/>
        </w:rPr>
        <w:t>, vol. 95, n. 7.</w:t>
      </w:r>
    </w:p>
    <w:p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DIDATTICA DEL CORSO</w:t>
      </w:r>
    </w:p>
    <w:p w:rsidR="00E94577" w:rsidRDefault="00E94577" w:rsidP="00E94577">
      <w:pPr>
        <w:pStyle w:val="Testo2"/>
        <w:rPr>
          <w:rFonts w:eastAsia="Arial"/>
        </w:rPr>
      </w:pPr>
      <w:r>
        <w:rPr>
          <w:rFonts w:eastAsia="Arial"/>
        </w:rPr>
        <w:t xml:space="preserve">Il corso </w:t>
      </w:r>
      <w:r w:rsidR="00C93AF6">
        <w:rPr>
          <w:rFonts w:eastAsia="Arial"/>
        </w:rPr>
        <w:t xml:space="preserve">prevede </w:t>
      </w:r>
      <w:r>
        <w:rPr>
          <w:rFonts w:eastAsia="Arial"/>
        </w:rPr>
        <w:t xml:space="preserve">lezioni </w:t>
      </w:r>
      <w:r w:rsidR="00C93AF6">
        <w:rPr>
          <w:rFonts w:eastAsia="Arial"/>
        </w:rPr>
        <w:t xml:space="preserve">del docente </w:t>
      </w:r>
      <w:r>
        <w:rPr>
          <w:rFonts w:eastAsia="Arial"/>
        </w:rPr>
        <w:t xml:space="preserve">in aula e lavori di gruppo svolti dagli studenti </w:t>
      </w:r>
      <w:r w:rsidR="00C93AF6">
        <w:rPr>
          <w:rFonts w:eastAsia="Arial"/>
        </w:rPr>
        <w:t xml:space="preserve">frequentanti, </w:t>
      </w:r>
      <w:r>
        <w:rPr>
          <w:rFonts w:eastAsia="Arial"/>
        </w:rPr>
        <w:t>presentati nel corso delle lezioni.</w:t>
      </w:r>
    </w:p>
    <w:p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 xml:space="preserve">METODO </w:t>
      </w:r>
      <w:r w:rsidR="00C93AF6">
        <w:rPr>
          <w:rFonts w:eastAsia="Arial"/>
          <w:b/>
          <w:i/>
          <w:sz w:val="18"/>
        </w:rPr>
        <w:t xml:space="preserve">E CRITERI DI </w:t>
      </w:r>
      <w:r>
        <w:rPr>
          <w:rFonts w:eastAsia="Arial"/>
          <w:b/>
          <w:i/>
          <w:sz w:val="18"/>
        </w:rPr>
        <w:t>VALUTAZIONE</w:t>
      </w:r>
    </w:p>
    <w:p w:rsidR="00E94577" w:rsidRPr="00972A68" w:rsidRDefault="00E94577" w:rsidP="00C93AF6">
      <w:pPr>
        <w:pStyle w:val="Testo2"/>
        <w:rPr>
          <w:rFonts w:eastAsia="Arial"/>
        </w:rPr>
      </w:pPr>
      <w:r w:rsidRPr="00972A68">
        <w:rPr>
          <w:rFonts w:eastAsia="Arial"/>
        </w:rPr>
        <w:t>L’esame si svolge in forma scritta</w:t>
      </w:r>
      <w:r w:rsidR="00C93AF6">
        <w:rPr>
          <w:rFonts w:eastAsia="Arial"/>
        </w:rPr>
        <w:t xml:space="preserve"> e consiste in 4 domande aperte, con peso identico ai fini del giudizio finale</w:t>
      </w:r>
      <w:r w:rsidRPr="00972A68">
        <w:rPr>
          <w:rFonts w:eastAsia="Arial"/>
        </w:rPr>
        <w:t xml:space="preserve">. </w:t>
      </w:r>
      <w:r w:rsidR="00C93AF6">
        <w:rPr>
          <w:rFonts w:eastAsia="Arial"/>
        </w:rPr>
        <w:t>Le prime tre domande riguardano la parte generale del corso, mentre la quarta domanda verte sulla parte monografica.</w:t>
      </w:r>
    </w:p>
    <w:p w:rsidR="00E94577" w:rsidRPr="00C8717D" w:rsidRDefault="00E94577" w:rsidP="00C93AF6">
      <w:pPr>
        <w:pStyle w:val="Testo2"/>
        <w:rPr>
          <w:rFonts w:eastAsia="Arial"/>
          <w:spacing w:val="-5"/>
        </w:rPr>
      </w:pPr>
      <w:r w:rsidRPr="00E94577">
        <w:rPr>
          <w:rFonts w:eastAsia="Arial"/>
          <w:i/>
        </w:rPr>
        <w:t xml:space="preserve">Per i </w:t>
      </w:r>
      <w:r w:rsidR="00C93AF6">
        <w:rPr>
          <w:rFonts w:eastAsia="Arial"/>
          <w:i/>
        </w:rPr>
        <w:t xml:space="preserve">soli studenti </w:t>
      </w:r>
      <w:r w:rsidRPr="00E94577">
        <w:rPr>
          <w:rFonts w:eastAsia="Arial"/>
          <w:i/>
        </w:rPr>
        <w:t>frequentanti</w:t>
      </w:r>
      <w:r w:rsidRPr="00972A68">
        <w:rPr>
          <w:rFonts w:eastAsia="Arial"/>
        </w:rPr>
        <w:t xml:space="preserve"> (coloro che hanno frequentato almeno ¾ delle lezioni</w:t>
      </w:r>
      <w:r w:rsidR="00C93AF6">
        <w:rPr>
          <w:rFonts w:eastAsia="Arial"/>
        </w:rPr>
        <w:t xml:space="preserve"> certificate dalle firme raccolte in aula</w:t>
      </w:r>
      <w:r w:rsidRPr="00972A68">
        <w:rPr>
          <w:rFonts w:eastAsia="Arial"/>
        </w:rPr>
        <w:t>) l’approfondimento della parte monografica può venire svolto in gruppo (composto da un massimo di 4-5 persone) e comporta la lettura di alcuni testi, la predisposizione di un breve scritto di lunghezza non superiore alle 8 cartelle (ciascuna di non oltre 3500 caratteri, spazi inclusi) e lo svolgimento di una lezione (della durata massima di 1 ora) al resto della classe in data concordata con il docente. Il voto conseguito nella parte monografica rappresenterà il 30% del voto finale d’esame.</w:t>
      </w:r>
      <w:r w:rsidR="00C93AF6">
        <w:rPr>
          <w:rFonts w:eastAsia="Arial"/>
        </w:rPr>
        <w:t xml:space="preserve"> La bibliografia della parte monografica sarà concordata con il docente all’inizio del corso.</w:t>
      </w:r>
    </w:p>
    <w:p w:rsidR="00E94577" w:rsidRDefault="00E94577" w:rsidP="00E94577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AVVERTENZE</w:t>
      </w:r>
      <w:r w:rsidR="00677794">
        <w:rPr>
          <w:rFonts w:eastAsia="Arial"/>
          <w:b/>
          <w:i/>
          <w:sz w:val="18"/>
        </w:rPr>
        <w:t xml:space="preserve"> E PREREQUISITI</w:t>
      </w:r>
    </w:p>
    <w:p w:rsidR="00AD52F2" w:rsidRPr="00C93AF6" w:rsidRDefault="00AD52F2" w:rsidP="00C93AF6">
      <w:pPr>
        <w:pStyle w:val="Testo2"/>
        <w:rPr>
          <w:rFonts w:eastAsia="Arial"/>
        </w:rPr>
      </w:pPr>
      <w:r w:rsidRPr="00C93AF6">
        <w:rPr>
          <w:rFonts w:eastAsia="Arial"/>
        </w:rPr>
        <w:t>Il corso richiede la conoscenza di nozioni elementari di microeconomia (teoria del consumatore e dell’impresa, mercato di concorrenza perfetta e monopolio). Coloro che non fossero in possesso di tali nozioni possono utilmente recuperarle utilizzando un comune manuale di microeconomia, come ad esempio:</w:t>
      </w:r>
    </w:p>
    <w:p w:rsidR="00AD52F2" w:rsidRPr="00C93AF6" w:rsidRDefault="00AD52F2" w:rsidP="00C93AF6">
      <w:pPr>
        <w:pStyle w:val="Testo2"/>
        <w:ind w:firstLine="0"/>
        <w:rPr>
          <w:rFonts w:eastAsia="Arial"/>
        </w:rPr>
      </w:pPr>
      <w:r w:rsidRPr="00C93AF6">
        <w:rPr>
          <w:rFonts w:eastAsia="Arial"/>
        </w:rPr>
        <w:t>Frank R., Microeconomia, McGraw-Hill.</w:t>
      </w:r>
    </w:p>
    <w:p w:rsidR="00AD52F2" w:rsidRPr="00C93AF6" w:rsidRDefault="00AD52F2" w:rsidP="00AD52F2">
      <w:pPr>
        <w:rPr>
          <w:rFonts w:eastAsia="Arial"/>
          <w:sz w:val="18"/>
        </w:rPr>
      </w:pPr>
      <w:r w:rsidRPr="00C93AF6">
        <w:rPr>
          <w:rFonts w:eastAsia="Arial"/>
          <w:sz w:val="18"/>
        </w:rPr>
        <w:t xml:space="preserve">Katz M. e Rosen H.,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McGraw-Hill.</w:t>
      </w:r>
    </w:p>
    <w:p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PerloffJ</w:t>
      </w:r>
      <w:proofErr w:type="spellEnd"/>
      <w:r w:rsidRPr="00C93AF6">
        <w:rPr>
          <w:rFonts w:eastAsia="Arial"/>
          <w:sz w:val="18"/>
        </w:rPr>
        <w:t xml:space="preserve">. M.,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APOGEO.</w:t>
      </w:r>
    </w:p>
    <w:p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Pindyck</w:t>
      </w:r>
      <w:proofErr w:type="spellEnd"/>
      <w:r w:rsidRPr="00C93AF6">
        <w:rPr>
          <w:rFonts w:eastAsia="Arial"/>
          <w:sz w:val="18"/>
        </w:rPr>
        <w:t xml:space="preserve"> R. e </w:t>
      </w:r>
      <w:proofErr w:type="spellStart"/>
      <w:r w:rsidRPr="00C93AF6">
        <w:rPr>
          <w:rFonts w:eastAsia="Arial"/>
          <w:sz w:val="18"/>
        </w:rPr>
        <w:t>Rubinfeld</w:t>
      </w:r>
      <w:proofErr w:type="spellEnd"/>
      <w:r w:rsidRPr="00C93AF6">
        <w:rPr>
          <w:rFonts w:eastAsia="Arial"/>
          <w:sz w:val="18"/>
        </w:rPr>
        <w:t xml:space="preserve"> D.,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Zanichelli.</w:t>
      </w:r>
    </w:p>
    <w:p w:rsidR="00AD52F2" w:rsidRPr="00C93AF6" w:rsidRDefault="00AD52F2" w:rsidP="00AD52F2">
      <w:pPr>
        <w:rPr>
          <w:rFonts w:eastAsia="Arial"/>
          <w:sz w:val="18"/>
        </w:rPr>
      </w:pPr>
      <w:r w:rsidRPr="00C93AF6">
        <w:rPr>
          <w:rFonts w:eastAsia="Arial"/>
          <w:sz w:val="18"/>
        </w:rPr>
        <w:t xml:space="preserve">Schotter A.,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 xml:space="preserve">, </w:t>
      </w:r>
      <w:proofErr w:type="spellStart"/>
      <w:r w:rsidRPr="00C93AF6">
        <w:rPr>
          <w:rFonts w:eastAsia="Arial"/>
          <w:sz w:val="18"/>
        </w:rPr>
        <w:t>Giappicchielli</w:t>
      </w:r>
      <w:proofErr w:type="spellEnd"/>
      <w:r w:rsidR="00C93AF6">
        <w:rPr>
          <w:rFonts w:eastAsia="Arial"/>
          <w:sz w:val="18"/>
        </w:rPr>
        <w:t>.</w:t>
      </w:r>
    </w:p>
    <w:p w:rsidR="00E94577" w:rsidRPr="0043553F" w:rsidRDefault="0043553F" w:rsidP="0043553F">
      <w:pPr>
        <w:pStyle w:val="Testo2"/>
        <w:spacing w:before="120"/>
        <w:rPr>
          <w:rFonts w:eastAsia="Arial"/>
          <w:i/>
        </w:rPr>
      </w:pPr>
      <w:r>
        <w:rPr>
          <w:rFonts w:eastAsia="Arial"/>
          <w:i/>
        </w:rPr>
        <w:t>O</w:t>
      </w:r>
      <w:r w:rsidRPr="0043553F">
        <w:rPr>
          <w:rFonts w:eastAsia="Arial"/>
          <w:i/>
        </w:rPr>
        <w:t>rario e luogo di ricevimento degli studenti</w:t>
      </w:r>
    </w:p>
    <w:p w:rsidR="00E94577" w:rsidRPr="00972A68" w:rsidRDefault="008E268E" w:rsidP="00E94577">
      <w:pPr>
        <w:pStyle w:val="Testo2"/>
        <w:rPr>
          <w:rFonts w:eastAsia="Arial"/>
        </w:rPr>
      </w:pPr>
      <w:r>
        <w:rPr>
          <w:rFonts w:eastAsia="Arial"/>
        </w:rPr>
        <w:t>Il Prof. Gianpaolo B</w:t>
      </w:r>
      <w:r w:rsidR="00AD52F2">
        <w:rPr>
          <w:rFonts w:eastAsia="Arial"/>
        </w:rPr>
        <w:t>a</w:t>
      </w:r>
      <w:r>
        <w:rPr>
          <w:rFonts w:eastAsia="Arial"/>
        </w:rPr>
        <w:t>rbetta riceve gli studenti il g</w:t>
      </w:r>
      <w:r w:rsidR="00E94577" w:rsidRPr="00972A68">
        <w:rPr>
          <w:rFonts w:eastAsia="Arial"/>
        </w:rPr>
        <w:t>ioved</w:t>
      </w:r>
      <w:r w:rsidR="00E94577">
        <w:rPr>
          <w:rFonts w:eastAsia="Arial"/>
        </w:rPr>
        <w:t>ì</w:t>
      </w:r>
      <w:r w:rsidR="00E94577" w:rsidRPr="00972A68">
        <w:rPr>
          <w:rFonts w:eastAsia="Arial"/>
        </w:rPr>
        <w:t xml:space="preserve">, dalle </w:t>
      </w:r>
      <w:r>
        <w:rPr>
          <w:rFonts w:eastAsia="Arial"/>
        </w:rPr>
        <w:t>ore 17,</w:t>
      </w:r>
      <w:r w:rsidR="00E94577" w:rsidRPr="00972A68">
        <w:rPr>
          <w:rFonts w:eastAsia="Arial"/>
        </w:rPr>
        <w:t xml:space="preserve">30 alle </w:t>
      </w:r>
      <w:r>
        <w:rPr>
          <w:rFonts w:eastAsia="Arial"/>
        </w:rPr>
        <w:t xml:space="preserve">ore </w:t>
      </w:r>
      <w:r w:rsidR="00E94577" w:rsidRPr="00972A68">
        <w:rPr>
          <w:rFonts w:eastAsia="Arial"/>
        </w:rPr>
        <w:t>19</w:t>
      </w:r>
      <w:r>
        <w:rPr>
          <w:rFonts w:eastAsia="Arial"/>
        </w:rPr>
        <w:t>,00</w:t>
      </w:r>
      <w:r w:rsidR="00E94577" w:rsidRPr="00972A68">
        <w:rPr>
          <w:rFonts w:eastAsia="Arial"/>
        </w:rPr>
        <w:t xml:space="preserve"> presso l’ufficio del docente, via Necchi, 5 – secondo piano – stanza 201.</w:t>
      </w:r>
    </w:p>
    <w:sectPr w:rsidR="00E94577" w:rsidRPr="00972A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C8" w:rsidRDefault="006209C8" w:rsidP="006209C8">
      <w:pPr>
        <w:spacing w:line="240" w:lineRule="auto"/>
      </w:pPr>
      <w:r>
        <w:separator/>
      </w:r>
    </w:p>
  </w:endnote>
  <w:endnote w:type="continuationSeparator" w:id="0">
    <w:p w:rsidR="006209C8" w:rsidRDefault="006209C8" w:rsidP="00620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C8" w:rsidRDefault="006209C8" w:rsidP="006209C8">
      <w:pPr>
        <w:spacing w:line="240" w:lineRule="auto"/>
      </w:pPr>
      <w:r>
        <w:separator/>
      </w:r>
    </w:p>
  </w:footnote>
  <w:footnote w:type="continuationSeparator" w:id="0">
    <w:p w:rsidR="006209C8" w:rsidRDefault="006209C8" w:rsidP="006209C8">
      <w:pPr>
        <w:spacing w:line="240" w:lineRule="auto"/>
      </w:pPr>
      <w:r>
        <w:continuationSeparator/>
      </w:r>
    </w:p>
  </w:footnote>
  <w:footnote w:id="1">
    <w:p w:rsidR="006209C8" w:rsidRDefault="006209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1049E9"/>
    <w:multiLevelType w:val="hybridMultilevel"/>
    <w:tmpl w:val="842E3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9B9"/>
    <w:multiLevelType w:val="hybridMultilevel"/>
    <w:tmpl w:val="DB34D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B6F"/>
    <w:multiLevelType w:val="hybridMultilevel"/>
    <w:tmpl w:val="3D180AC8"/>
    <w:lvl w:ilvl="0" w:tplc="E6EE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B4C5C"/>
    <w:rsid w:val="000E5968"/>
    <w:rsid w:val="00187B99"/>
    <w:rsid w:val="002014DD"/>
    <w:rsid w:val="0043553F"/>
    <w:rsid w:val="004D1217"/>
    <w:rsid w:val="004D6008"/>
    <w:rsid w:val="005027BA"/>
    <w:rsid w:val="006209C8"/>
    <w:rsid w:val="00677794"/>
    <w:rsid w:val="006F1772"/>
    <w:rsid w:val="008A1204"/>
    <w:rsid w:val="008E268E"/>
    <w:rsid w:val="00900CCA"/>
    <w:rsid w:val="00924B77"/>
    <w:rsid w:val="00940DA2"/>
    <w:rsid w:val="009E055C"/>
    <w:rsid w:val="00A74F6F"/>
    <w:rsid w:val="00AD52F2"/>
    <w:rsid w:val="00AD7557"/>
    <w:rsid w:val="00B51253"/>
    <w:rsid w:val="00B525CC"/>
    <w:rsid w:val="00B75772"/>
    <w:rsid w:val="00BA4A4E"/>
    <w:rsid w:val="00C8717D"/>
    <w:rsid w:val="00C93AF6"/>
    <w:rsid w:val="00D145A2"/>
    <w:rsid w:val="00D404F2"/>
    <w:rsid w:val="00D7164E"/>
    <w:rsid w:val="00E607E6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AD52F2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D52F2"/>
    <w:rPr>
      <w:sz w:val="24"/>
    </w:rPr>
  </w:style>
  <w:style w:type="character" w:styleId="Collegamentoipertestuale">
    <w:name w:val="Hyperlink"/>
    <w:rsid w:val="00AD52F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09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09C8"/>
  </w:style>
  <w:style w:type="character" w:styleId="Rimandonotaapidipagina">
    <w:name w:val="footnote reference"/>
    <w:basedOn w:val="Carpredefinitoparagrafo"/>
    <w:semiHidden/>
    <w:unhideWhenUsed/>
    <w:rsid w:val="006209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AD52F2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D52F2"/>
    <w:rPr>
      <w:sz w:val="24"/>
    </w:rPr>
  </w:style>
  <w:style w:type="character" w:styleId="Collegamentoipertestuale">
    <w:name w:val="Hyperlink"/>
    <w:rsid w:val="00AD52F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09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09C8"/>
  </w:style>
  <w:style w:type="character" w:styleId="Rimandonotaapidipagina">
    <w:name w:val="footnote reference"/>
    <w:basedOn w:val="Carpredefinitoparagrafo"/>
    <w:semiHidden/>
    <w:unhideWhenUsed/>
    <w:rsid w:val="00620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eugene-stiglitz-jay-k-rosengard/economia-del-settore-pubblico-fondamenti-teorici-spesa-e-imposte-9788820376659-68653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537A-6FE0-4F61-8D9F-2B0BE5F8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2021-06-22T14:46:00Z</dcterms:created>
  <dcterms:modified xsi:type="dcterms:W3CDTF">2021-07-06T07:54:00Z</dcterms:modified>
</cp:coreProperties>
</file>