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9BAE7" w14:textId="77777777" w:rsidR="00A84BA3" w:rsidRPr="00A84BA3" w:rsidRDefault="00A84BA3" w:rsidP="00A84BA3">
      <w:pPr>
        <w:pStyle w:val="Titolo1"/>
      </w:pPr>
      <w:r w:rsidRPr="00A84BA3">
        <w:t>Filosofia del dialogo interculturale</w:t>
      </w:r>
    </w:p>
    <w:p w14:paraId="0213F827" w14:textId="77777777" w:rsidR="00A84BA3" w:rsidRPr="00A84BA3" w:rsidRDefault="00A84BA3" w:rsidP="00A84BA3">
      <w:pPr>
        <w:pStyle w:val="Titolo2"/>
      </w:pPr>
      <w:r w:rsidRPr="00A84BA3">
        <w:t>Prof. Paolo Gomarasca</w:t>
      </w:r>
    </w:p>
    <w:p w14:paraId="5323A78A" w14:textId="77777777" w:rsidR="002D5E17" w:rsidRDefault="00A84BA3" w:rsidP="00A84BA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9DF3BE5" w14:textId="77777777" w:rsidR="00A84BA3" w:rsidRDefault="00A84BA3" w:rsidP="00845614">
      <w:pPr>
        <w:spacing w:line="240" w:lineRule="exact"/>
      </w:pPr>
      <w:r>
        <w:t>Obiettivo del corso:</w:t>
      </w:r>
    </w:p>
    <w:p w14:paraId="240973BE" w14:textId="77777777" w:rsidR="00A84BA3" w:rsidRDefault="00A84BA3" w:rsidP="00845614">
      <w:pPr>
        <w:spacing w:line="240" w:lineRule="exact"/>
      </w:pPr>
      <w:r>
        <w:t xml:space="preserve">Il corso si prefigge di introdurre gli studenti alla conoscenza della </w:t>
      </w:r>
      <w:r w:rsidRPr="0045155E">
        <w:t xml:space="preserve">crisi del multiculturalismo e </w:t>
      </w:r>
      <w:r>
        <w:t>della</w:t>
      </w:r>
      <w:r w:rsidRPr="0045155E">
        <w:t xml:space="preserve"> proposta alternativa </w:t>
      </w:r>
      <w:r>
        <w:t>di un</w:t>
      </w:r>
      <w:r w:rsidRPr="0045155E">
        <w:t xml:space="preserve"> </w:t>
      </w:r>
      <w:r>
        <w:t>approccio</w:t>
      </w:r>
      <w:r w:rsidRPr="0045155E">
        <w:t xml:space="preserve"> interculturale</w:t>
      </w:r>
      <w:r>
        <w:t>. L’ambito di riferimento sarà la riflessione filosofica sui modelli di gestione delle differenze culturali, facendo attenzione a come tali modelli si declinano in policies, che influiscono sull’assetto democratico di una società plurale</w:t>
      </w:r>
      <w:r w:rsidRPr="0045155E">
        <w:t>. L’obiettivo</w:t>
      </w:r>
      <w:r>
        <w:t>, più specificamente</w:t>
      </w:r>
      <w:r w:rsidRPr="0045155E">
        <w:t xml:space="preserve"> è duplice: (1) esaminare le ragioni </w:t>
      </w:r>
      <w:r>
        <w:t xml:space="preserve">teoriche e politiche del fallimento del modello multiculturale, con particolare riferimento al dibattito tra </w:t>
      </w:r>
      <w:r w:rsidRPr="00917C2F">
        <w:rPr>
          <w:i/>
        </w:rPr>
        <w:t>liberals</w:t>
      </w:r>
      <w:r>
        <w:t xml:space="preserve"> e </w:t>
      </w:r>
      <w:r w:rsidRPr="00917C2F">
        <w:rPr>
          <w:i/>
        </w:rPr>
        <w:t>communitarians</w:t>
      </w:r>
      <w:r w:rsidRPr="0045155E">
        <w:t>; (2) giustificare e mettere alla prova la tenuta</w:t>
      </w:r>
      <w:r>
        <w:t xml:space="preserve"> </w:t>
      </w:r>
      <w:r w:rsidRPr="0045155E">
        <w:t>del modello</w:t>
      </w:r>
      <w:r>
        <w:t xml:space="preserve"> interculturale</w:t>
      </w:r>
      <w:r w:rsidRPr="0045155E">
        <w:t xml:space="preserve">, </w:t>
      </w:r>
      <w:r>
        <w:t>in relazione all’attuale dibattito internazionale, soprattutto a partire dai documenti dell’Unesco; (3) analizzare e discutere alcuni case-studies emblematici, che presentino buone pratiche di interculturalità possibile.</w:t>
      </w:r>
    </w:p>
    <w:p w14:paraId="19AA18AB" w14:textId="77777777" w:rsidR="00A84BA3" w:rsidRDefault="00A84BA3" w:rsidP="00845614">
      <w:pPr>
        <w:spacing w:before="120" w:line="240" w:lineRule="exact"/>
        <w:ind w:left="284" w:hanging="284"/>
      </w:pPr>
      <w:r>
        <w:t>Risultati di apprendimento attesi:</w:t>
      </w:r>
    </w:p>
    <w:p w14:paraId="2D810707" w14:textId="77777777" w:rsidR="00A84BA3" w:rsidRDefault="00845614" w:rsidP="00845614">
      <w:pPr>
        <w:spacing w:line="240" w:lineRule="exact"/>
        <w:ind w:left="284" w:hanging="284"/>
      </w:pPr>
      <w:r>
        <w:t>1.</w:t>
      </w:r>
      <w:r>
        <w:tab/>
      </w:r>
      <w:r w:rsidR="00A84BA3">
        <w:t>Conoscenza e comprensione</w:t>
      </w:r>
    </w:p>
    <w:p w14:paraId="49F76624" w14:textId="77777777" w:rsidR="00A84BA3" w:rsidRDefault="00A84BA3" w:rsidP="00845614">
      <w:pPr>
        <w:spacing w:line="240" w:lineRule="exact"/>
        <w:ind w:left="284" w:hanging="284"/>
      </w:pPr>
      <w:r>
        <w:t>Al termine dell’insegnamento, lo studente sarà in grado di:</w:t>
      </w:r>
    </w:p>
    <w:p w14:paraId="331661AC" w14:textId="77777777" w:rsidR="00A84BA3" w:rsidRDefault="00845614" w:rsidP="00845614">
      <w:pPr>
        <w:spacing w:line="240" w:lineRule="exact"/>
        <w:ind w:left="284" w:hanging="284"/>
      </w:pPr>
      <w:r>
        <w:t>a)</w:t>
      </w:r>
      <w:r>
        <w:tab/>
      </w:r>
      <w:r w:rsidR="00A84BA3">
        <w:t>acquisire un linguaggio filosofico di base e conoscere le principali posizioni teoriche del dibattito sui dilemmi della società plurale;</w:t>
      </w:r>
    </w:p>
    <w:p w14:paraId="7CADE137" w14:textId="77777777" w:rsidR="00A84BA3" w:rsidRDefault="00845614" w:rsidP="00845614">
      <w:pPr>
        <w:spacing w:line="240" w:lineRule="exact"/>
        <w:ind w:left="284" w:hanging="284"/>
      </w:pPr>
      <w:r>
        <w:t>b)</w:t>
      </w:r>
      <w:r>
        <w:tab/>
      </w:r>
      <w:r w:rsidR="00A84BA3">
        <w:t>comprendere la letteratura di riferimento, utilizzando correttamente l’apparato concettuale di base della disciplina;</w:t>
      </w:r>
    </w:p>
    <w:p w14:paraId="35A6041A" w14:textId="77777777" w:rsidR="00A84BA3" w:rsidRDefault="00845614" w:rsidP="00845614">
      <w:pPr>
        <w:spacing w:line="240" w:lineRule="exact"/>
        <w:ind w:left="284" w:hanging="284"/>
      </w:pPr>
      <w:r>
        <w:t>c)</w:t>
      </w:r>
      <w:r>
        <w:tab/>
      </w:r>
      <w:r w:rsidR="00A84BA3">
        <w:t>identificare, a partire dai case-studies, le key issues rilevanti dal punto di vista della difesa e della promozione di un modello di società inclusiva e coesa.</w:t>
      </w:r>
    </w:p>
    <w:p w14:paraId="3CF81C82" w14:textId="77777777" w:rsidR="00A84BA3" w:rsidRDefault="00845614" w:rsidP="00845614">
      <w:pPr>
        <w:spacing w:before="120" w:line="240" w:lineRule="exact"/>
        <w:ind w:left="284" w:hanging="284"/>
      </w:pPr>
      <w:r>
        <w:t>2.</w:t>
      </w:r>
      <w:r>
        <w:tab/>
      </w:r>
      <w:r w:rsidR="00A84BA3">
        <w:t>Capacità di applicare conoscenza e comprensione</w:t>
      </w:r>
    </w:p>
    <w:p w14:paraId="156A7082" w14:textId="77777777" w:rsidR="00A84BA3" w:rsidRDefault="00A84BA3" w:rsidP="00845614">
      <w:pPr>
        <w:spacing w:line="240" w:lineRule="exact"/>
        <w:ind w:left="284" w:hanging="284"/>
      </w:pPr>
      <w:r>
        <w:t>Al termine dell’insegnamento, lo studente sarà in grado di:</w:t>
      </w:r>
    </w:p>
    <w:p w14:paraId="2F6AF76E" w14:textId="77777777" w:rsidR="00A84BA3" w:rsidRDefault="00845614" w:rsidP="00845614">
      <w:pPr>
        <w:spacing w:line="240" w:lineRule="exact"/>
        <w:ind w:left="284" w:hanging="284"/>
      </w:pPr>
      <w:r>
        <w:t>a)</w:t>
      </w:r>
      <w:r>
        <w:tab/>
      </w:r>
      <w:r w:rsidR="00A84BA3">
        <w:t>stabilire e giustificare connessioni interdisciplinari tra i modelli filosofici analizzati durante il corso e le questioni politiche rilevanti oggi a livello internazionale, relativamente al futuro delle democrazie ad alto tasso di pluralismo;</w:t>
      </w:r>
    </w:p>
    <w:p w14:paraId="35A30663" w14:textId="77777777" w:rsidR="00A84BA3" w:rsidRDefault="00845614" w:rsidP="00845614">
      <w:pPr>
        <w:spacing w:line="240" w:lineRule="exact"/>
        <w:ind w:left="284" w:hanging="284"/>
      </w:pPr>
      <w:r>
        <w:t>b)</w:t>
      </w:r>
      <w:r>
        <w:tab/>
      </w:r>
      <w:r w:rsidR="00A84BA3">
        <w:t>formulare giudizi autonomi sulle questioni affrontate durante il corso e acquisire un metodo critico per valutare i punti argomentativi di forza e di debolezza via via presentati, sia relativamente ai modelli di teorici di gestione delle differenze, sia a livello delle policies prese in considerazione.</w:t>
      </w:r>
    </w:p>
    <w:p w14:paraId="4A38CC1F" w14:textId="77777777" w:rsidR="00A84BA3" w:rsidRDefault="00A84BA3" w:rsidP="0084561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FFB9806" w14:textId="77777777" w:rsidR="00A84BA3" w:rsidRPr="0045155E" w:rsidRDefault="00A84BA3" w:rsidP="00845614">
      <w:pPr>
        <w:spacing w:line="240" w:lineRule="exact"/>
      </w:pPr>
      <w:r w:rsidRPr="0045155E">
        <w:lastRenderedPageBreak/>
        <w:t>1.</w:t>
      </w:r>
      <w:r w:rsidRPr="0045155E">
        <w:tab/>
        <w:t xml:space="preserve">La crisi del multiculturalismo e il </w:t>
      </w:r>
      <w:r>
        <w:t>‘</w:t>
      </w:r>
      <w:r w:rsidRPr="0045155E">
        <w:t>backlash</w:t>
      </w:r>
      <w:r>
        <w:t>’</w:t>
      </w:r>
      <w:r w:rsidRPr="0045155E">
        <w:t xml:space="preserve"> delle politiche multiculturali;</w:t>
      </w:r>
    </w:p>
    <w:p w14:paraId="72042B6B" w14:textId="77777777" w:rsidR="00A84BA3" w:rsidRPr="0045155E" w:rsidRDefault="00A84BA3" w:rsidP="00845614">
      <w:pPr>
        <w:spacing w:line="240" w:lineRule="exact"/>
        <w:ind w:left="284" w:hanging="284"/>
      </w:pPr>
      <w:r w:rsidRPr="0045155E">
        <w:t>2.</w:t>
      </w:r>
      <w:r w:rsidRPr="0045155E">
        <w:tab/>
        <w:t>La riformulazione teorica del modello multiculturale;</w:t>
      </w:r>
    </w:p>
    <w:p w14:paraId="250290D9" w14:textId="77777777" w:rsidR="00A84BA3" w:rsidRPr="0045155E" w:rsidRDefault="00A84BA3" w:rsidP="00845614">
      <w:pPr>
        <w:spacing w:line="240" w:lineRule="exact"/>
      </w:pPr>
      <w:r w:rsidRPr="0045155E">
        <w:t>3.</w:t>
      </w:r>
      <w:r w:rsidRPr="0045155E">
        <w:tab/>
        <w:t>La discussione del concetto di interculturalità;</w:t>
      </w:r>
    </w:p>
    <w:p w14:paraId="6E7B9ABD" w14:textId="77777777" w:rsidR="00A84BA3" w:rsidRPr="0045155E" w:rsidRDefault="00A84BA3" w:rsidP="00845614">
      <w:pPr>
        <w:spacing w:line="240" w:lineRule="exact"/>
      </w:pPr>
      <w:r w:rsidRPr="0045155E">
        <w:t>4.</w:t>
      </w:r>
      <w:r w:rsidRPr="0045155E">
        <w:tab/>
        <w:t xml:space="preserve">La categoria </w:t>
      </w:r>
      <w:r>
        <w:t xml:space="preserve">filosofico-politica </w:t>
      </w:r>
      <w:r w:rsidRPr="0045155E">
        <w:t>di dialogo;</w:t>
      </w:r>
    </w:p>
    <w:p w14:paraId="16EC308F" w14:textId="77777777" w:rsidR="00A84BA3" w:rsidRDefault="00A84BA3" w:rsidP="00845614">
      <w:pPr>
        <w:spacing w:line="240" w:lineRule="exact"/>
        <w:ind w:left="284" w:hanging="284"/>
      </w:pPr>
      <w:r w:rsidRPr="0045155E">
        <w:t>5.</w:t>
      </w:r>
      <w:r w:rsidRPr="0045155E">
        <w:tab/>
        <w:t>La costruzione del modello interculturale e la sua messa alla prova.</w:t>
      </w:r>
    </w:p>
    <w:p w14:paraId="7E0FA700" w14:textId="77777777" w:rsidR="00A84BA3" w:rsidRPr="0045155E" w:rsidRDefault="00845614" w:rsidP="00845614">
      <w:pPr>
        <w:spacing w:line="240" w:lineRule="exact"/>
        <w:ind w:left="284" w:hanging="284"/>
      </w:pPr>
      <w:r>
        <w:t>6.</w:t>
      </w:r>
      <w:r>
        <w:tab/>
      </w:r>
      <w:r w:rsidR="00A84BA3">
        <w:t>Presentazione e discussione di case studies</w:t>
      </w:r>
      <w:r>
        <w:t>.</w:t>
      </w:r>
    </w:p>
    <w:p w14:paraId="3986AF06" w14:textId="358AA1D2" w:rsidR="00A84BA3" w:rsidRPr="00845614" w:rsidRDefault="00A84BA3" w:rsidP="008456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E44D7">
        <w:rPr>
          <w:rStyle w:val="Rimandonotaapidipagina"/>
          <w:b/>
          <w:i/>
          <w:sz w:val="18"/>
        </w:rPr>
        <w:footnoteReference w:id="1"/>
      </w:r>
    </w:p>
    <w:p w14:paraId="7EF5551D" w14:textId="77777777" w:rsidR="00A84BA3" w:rsidRPr="00A84BA3" w:rsidRDefault="00A84BA3" w:rsidP="00A84BA3">
      <w:pPr>
        <w:pStyle w:val="Testo1"/>
      </w:pPr>
      <w:r w:rsidRPr="00A84BA3">
        <w:t>Per i frequentanti:</w:t>
      </w:r>
    </w:p>
    <w:p w14:paraId="24CF34DE" w14:textId="77777777" w:rsidR="00A84BA3" w:rsidRPr="00B63AD8" w:rsidRDefault="00A84BA3" w:rsidP="00A84BA3">
      <w:pPr>
        <w:pStyle w:val="Testo1"/>
        <w:spacing w:before="0" w:line="240" w:lineRule="atLeast"/>
        <w:rPr>
          <w:noProof w:val="0"/>
          <w:spacing w:val="-5"/>
          <w:szCs w:val="18"/>
        </w:rPr>
      </w:pPr>
      <w:r w:rsidRPr="00B63AD8">
        <w:rPr>
          <w:smallCaps/>
          <w:noProof w:val="0"/>
          <w:spacing w:val="-5"/>
          <w:szCs w:val="18"/>
        </w:rPr>
        <w:t>J. Habermas</w:t>
      </w:r>
      <w:r w:rsidR="00845614" w:rsidRPr="00B63AD8">
        <w:rPr>
          <w:smallCaps/>
          <w:noProof w:val="0"/>
          <w:spacing w:val="-5"/>
          <w:szCs w:val="18"/>
        </w:rPr>
        <w:t>-</w:t>
      </w:r>
      <w:r w:rsidRPr="00B63AD8">
        <w:rPr>
          <w:smallCaps/>
          <w:noProof w:val="0"/>
          <w:spacing w:val="-5"/>
          <w:szCs w:val="18"/>
        </w:rPr>
        <w:t>Ch. Taylor</w:t>
      </w:r>
      <w:r w:rsidRPr="00B63AD8">
        <w:rPr>
          <w:i/>
          <w:noProof w:val="0"/>
          <w:spacing w:val="-5"/>
          <w:szCs w:val="18"/>
        </w:rPr>
        <w:t>,</w:t>
      </w:r>
      <w:r w:rsidRPr="00B63AD8">
        <w:rPr>
          <w:noProof w:val="0"/>
          <w:spacing w:val="-5"/>
          <w:szCs w:val="18"/>
        </w:rPr>
        <w:t xml:space="preserve"> </w:t>
      </w:r>
      <w:r w:rsidRPr="00B63AD8">
        <w:rPr>
          <w:i/>
          <w:noProof w:val="0"/>
          <w:spacing w:val="-5"/>
          <w:szCs w:val="18"/>
        </w:rPr>
        <w:t>Multiculturalismo. Lotte per il riconoscimento</w:t>
      </w:r>
      <w:r w:rsidRPr="00B63AD8">
        <w:rPr>
          <w:noProof w:val="0"/>
          <w:spacing w:val="-5"/>
          <w:szCs w:val="18"/>
        </w:rPr>
        <w:t>, a cura di L. Ceppa, Feltrinelli, Milano</w:t>
      </w:r>
      <w:r w:rsidR="00845614" w:rsidRPr="00B63AD8">
        <w:rPr>
          <w:noProof w:val="0"/>
          <w:spacing w:val="-5"/>
          <w:szCs w:val="18"/>
        </w:rPr>
        <w:t>,</w:t>
      </w:r>
      <w:r w:rsidRPr="00B63AD8">
        <w:rPr>
          <w:noProof w:val="0"/>
          <w:spacing w:val="-5"/>
          <w:szCs w:val="18"/>
        </w:rPr>
        <w:t xml:space="preserve"> 2008</w:t>
      </w:r>
      <w:r w:rsidR="00845614" w:rsidRPr="00B63AD8">
        <w:rPr>
          <w:noProof w:val="0"/>
          <w:spacing w:val="-5"/>
          <w:szCs w:val="18"/>
        </w:rPr>
        <w:t>.</w:t>
      </w:r>
    </w:p>
    <w:p w14:paraId="3C2C01E3" w14:textId="6C912585" w:rsidR="00A84BA3" w:rsidRPr="00B63AD8" w:rsidRDefault="00A84BA3" w:rsidP="00A84BA3">
      <w:pPr>
        <w:pStyle w:val="Testo1"/>
        <w:spacing w:before="0" w:line="240" w:lineRule="atLeast"/>
        <w:rPr>
          <w:spacing w:val="-5"/>
          <w:szCs w:val="18"/>
        </w:rPr>
      </w:pPr>
      <w:r w:rsidRPr="00B63AD8">
        <w:rPr>
          <w:smallCaps/>
          <w:spacing w:val="-5"/>
          <w:szCs w:val="18"/>
        </w:rPr>
        <w:t>S. Benhabib</w:t>
      </w:r>
      <w:r w:rsidR="00B63AD8" w:rsidRPr="00B63AD8">
        <w:rPr>
          <w:smallCaps/>
          <w:spacing w:val="-5"/>
          <w:szCs w:val="18"/>
        </w:rPr>
        <w:t xml:space="preserve">, </w:t>
      </w:r>
      <w:r w:rsidR="00B63AD8" w:rsidRPr="00B63AD8">
        <w:rPr>
          <w:i/>
          <w:iCs/>
          <w:spacing w:val="-5"/>
          <w:szCs w:val="18"/>
        </w:rPr>
        <w:t>I diritti degli altri. stranieri, residenti, cittadini</w:t>
      </w:r>
      <w:r w:rsidRPr="00B63AD8">
        <w:rPr>
          <w:i/>
          <w:spacing w:val="-5"/>
          <w:szCs w:val="18"/>
        </w:rPr>
        <w:t>,</w:t>
      </w:r>
      <w:r w:rsidRPr="00B63AD8">
        <w:rPr>
          <w:spacing w:val="-5"/>
          <w:szCs w:val="18"/>
        </w:rPr>
        <w:t xml:space="preserve"> tr. it. di </w:t>
      </w:r>
      <w:r w:rsidR="00B63AD8" w:rsidRPr="00B63AD8">
        <w:rPr>
          <w:spacing w:val="-5"/>
          <w:szCs w:val="18"/>
        </w:rPr>
        <w:t>S. De Petris</w:t>
      </w:r>
      <w:r w:rsidRPr="00B63AD8">
        <w:rPr>
          <w:spacing w:val="-5"/>
          <w:szCs w:val="18"/>
        </w:rPr>
        <w:t xml:space="preserve">, </w:t>
      </w:r>
      <w:r w:rsidR="00B63AD8">
        <w:rPr>
          <w:spacing w:val="-5"/>
          <w:szCs w:val="18"/>
        </w:rPr>
        <w:t>Raffaello Cortina</w:t>
      </w:r>
      <w:r w:rsidRPr="00B63AD8">
        <w:rPr>
          <w:spacing w:val="-5"/>
          <w:szCs w:val="18"/>
        </w:rPr>
        <w:t xml:space="preserve">, </w:t>
      </w:r>
      <w:r w:rsidR="00B63AD8">
        <w:rPr>
          <w:spacing w:val="-5"/>
          <w:szCs w:val="18"/>
        </w:rPr>
        <w:t>Milano</w:t>
      </w:r>
      <w:r w:rsidR="00845614" w:rsidRPr="00B63AD8">
        <w:rPr>
          <w:spacing w:val="-5"/>
          <w:szCs w:val="18"/>
        </w:rPr>
        <w:t>,</w:t>
      </w:r>
      <w:r w:rsidRPr="00B63AD8">
        <w:rPr>
          <w:spacing w:val="-5"/>
          <w:szCs w:val="18"/>
        </w:rPr>
        <w:t xml:space="preserve"> 200</w:t>
      </w:r>
      <w:r w:rsidR="00B63AD8" w:rsidRPr="00B63AD8">
        <w:rPr>
          <w:spacing w:val="-5"/>
          <w:szCs w:val="18"/>
        </w:rPr>
        <w:t>6</w:t>
      </w:r>
      <w:r w:rsidRPr="00B63AD8">
        <w:rPr>
          <w:spacing w:val="-5"/>
          <w:szCs w:val="18"/>
        </w:rPr>
        <w:t>.</w:t>
      </w:r>
      <w:r w:rsidR="004E44D7">
        <w:rPr>
          <w:spacing w:val="-5"/>
          <w:szCs w:val="18"/>
        </w:rPr>
        <w:t xml:space="preserve"> </w:t>
      </w:r>
      <w:hyperlink r:id="rId8" w:history="1">
        <w:r w:rsidR="004E44D7" w:rsidRPr="004E44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F51481D" w14:textId="77777777" w:rsidR="00A84BA3" w:rsidRPr="00B63AD8" w:rsidRDefault="00A84BA3" w:rsidP="00845614">
      <w:pPr>
        <w:pStyle w:val="Testo1"/>
        <w:spacing w:before="0"/>
        <w:rPr>
          <w:szCs w:val="18"/>
        </w:rPr>
      </w:pPr>
      <w:r w:rsidRPr="00B63AD8">
        <w:rPr>
          <w:szCs w:val="18"/>
        </w:rPr>
        <w:t>Ulteriore bibliografia verrà indicata durante il corso</w:t>
      </w:r>
    </w:p>
    <w:p w14:paraId="6C487AE4" w14:textId="77777777" w:rsidR="00A84BA3" w:rsidRPr="00B63AD8" w:rsidRDefault="00A84BA3" w:rsidP="00A84BA3">
      <w:pPr>
        <w:pStyle w:val="Testo1"/>
        <w:rPr>
          <w:szCs w:val="18"/>
        </w:rPr>
      </w:pPr>
      <w:r w:rsidRPr="00B63AD8">
        <w:rPr>
          <w:szCs w:val="18"/>
        </w:rPr>
        <w:t>Per i non-frequentanti:</w:t>
      </w:r>
    </w:p>
    <w:p w14:paraId="339F6E7F" w14:textId="77777777" w:rsidR="00A84BA3" w:rsidRPr="00B63AD8" w:rsidRDefault="00A84BA3" w:rsidP="00845614">
      <w:pPr>
        <w:pStyle w:val="Testo1"/>
        <w:spacing w:before="0"/>
        <w:rPr>
          <w:szCs w:val="18"/>
        </w:rPr>
      </w:pPr>
      <w:r w:rsidRPr="00B63AD8">
        <w:rPr>
          <w:szCs w:val="18"/>
        </w:rPr>
        <w:t>Oltre ai testi sopra indicati per i frequentanti:</w:t>
      </w:r>
    </w:p>
    <w:p w14:paraId="065EC6BF" w14:textId="77777777" w:rsidR="00A84BA3" w:rsidRPr="00B63AD8" w:rsidRDefault="00A84BA3" w:rsidP="00A84BA3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B63AD8">
        <w:rPr>
          <w:smallCaps/>
          <w:spacing w:val="-5"/>
          <w:szCs w:val="18"/>
          <w:lang w:val="en-US"/>
        </w:rPr>
        <w:t>A. Rattansi,</w:t>
      </w:r>
      <w:r w:rsidRPr="00B63AD8">
        <w:rPr>
          <w:i/>
          <w:spacing w:val="-5"/>
          <w:szCs w:val="18"/>
          <w:lang w:val="en-US"/>
        </w:rPr>
        <w:t xml:space="preserve"> Multiculturalism: A Very Short Introduction,</w:t>
      </w:r>
      <w:r w:rsidRPr="00B63AD8">
        <w:rPr>
          <w:spacing w:val="-5"/>
          <w:szCs w:val="18"/>
          <w:lang w:val="en-US"/>
        </w:rPr>
        <w:t xml:space="preserve"> Oxford University Press, Oxford 2011.</w:t>
      </w:r>
    </w:p>
    <w:p w14:paraId="7CFB413C" w14:textId="77777777" w:rsidR="00A84BA3" w:rsidRPr="00B63AD8" w:rsidRDefault="00A84BA3" w:rsidP="00845614">
      <w:pPr>
        <w:pStyle w:val="Testo1"/>
        <w:spacing w:before="0"/>
        <w:rPr>
          <w:szCs w:val="18"/>
          <w:lang w:val="en-US"/>
        </w:rPr>
      </w:pPr>
      <w:r w:rsidRPr="00B63AD8">
        <w:rPr>
          <w:i/>
          <w:spacing w:val="-5"/>
          <w:szCs w:val="18"/>
          <w:lang w:val="en-US"/>
        </w:rPr>
        <w:t>UNESCO World Report 2009: Investing in Cultural Diversity and Intercultural Dialogue</w:t>
      </w:r>
      <w:r w:rsidR="00845614" w:rsidRPr="00B63AD8">
        <w:rPr>
          <w:i/>
          <w:spacing w:val="-5"/>
          <w:szCs w:val="18"/>
          <w:lang w:val="en-US"/>
        </w:rPr>
        <w:t>,</w:t>
      </w:r>
      <w:r w:rsidRPr="00B63AD8">
        <w:rPr>
          <w:szCs w:val="18"/>
          <w:lang w:val="en-US"/>
        </w:rPr>
        <w:t xml:space="preserve"> Executive Summary.</w:t>
      </w:r>
    </w:p>
    <w:p w14:paraId="4E028F4F" w14:textId="77777777" w:rsidR="00A84BA3" w:rsidRPr="00B63AD8" w:rsidRDefault="00A84BA3" w:rsidP="00845614">
      <w:pPr>
        <w:pStyle w:val="Testo1"/>
        <w:spacing w:before="0"/>
        <w:rPr>
          <w:szCs w:val="18"/>
          <w:lang w:val="en-US"/>
        </w:rPr>
      </w:pPr>
      <w:r w:rsidRPr="00B63AD8">
        <w:rPr>
          <w:smallCaps/>
          <w:spacing w:val="-5"/>
          <w:szCs w:val="18"/>
          <w:lang w:val="en-US"/>
        </w:rPr>
        <w:t>Council of europe ministers of foreign affairs</w:t>
      </w:r>
      <w:r w:rsidRPr="00B63AD8">
        <w:rPr>
          <w:szCs w:val="18"/>
          <w:lang w:val="en-US"/>
        </w:rPr>
        <w:t xml:space="preserve">, </w:t>
      </w:r>
      <w:r w:rsidRPr="00B63AD8">
        <w:rPr>
          <w:i/>
          <w:szCs w:val="18"/>
          <w:lang w:val="en-US"/>
        </w:rPr>
        <w:t>White Paper on Intercultural Dialogue. Living Together As Equals in Dignity,</w:t>
      </w:r>
      <w:r w:rsidRPr="00B63AD8">
        <w:rPr>
          <w:szCs w:val="18"/>
          <w:lang w:val="en-US"/>
        </w:rPr>
        <w:t xml:space="preserve"> 118th Ministerial Session. Strasbourg, 7 May 2008.</w:t>
      </w:r>
    </w:p>
    <w:p w14:paraId="5340B4EC" w14:textId="77777777" w:rsidR="00A84BA3" w:rsidRDefault="00A84BA3" w:rsidP="00A84B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6998CC" w14:textId="77777777" w:rsidR="00A84BA3" w:rsidRPr="00A84BA3" w:rsidRDefault="00A84BA3" w:rsidP="00A84BA3">
      <w:pPr>
        <w:pStyle w:val="Testo2"/>
      </w:pPr>
      <w:r w:rsidRPr="00A84BA3">
        <w:t>Lezioni frontali e discussione di case studies.</w:t>
      </w:r>
    </w:p>
    <w:p w14:paraId="1217CCDD" w14:textId="77777777" w:rsidR="00A84BA3" w:rsidRDefault="00A84BA3" w:rsidP="00A84B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61AEC6A" w14:textId="77777777" w:rsidR="00A84BA3" w:rsidRPr="00A84BA3" w:rsidRDefault="00A84BA3" w:rsidP="00A84BA3">
      <w:pPr>
        <w:pStyle w:val="Testo2"/>
      </w:pPr>
      <w:r w:rsidRPr="000E137E">
        <w:t xml:space="preserve">La verifica dell’apprendimento prevede una prova orale secondo le seguenti modalità: </w:t>
      </w:r>
      <w:r>
        <w:t>tre</w:t>
      </w:r>
      <w:r w:rsidRPr="000E137E">
        <w:t xml:space="preserve"> domande relative </w:t>
      </w:r>
      <w:r>
        <w:t>ai due modelli filosofico-politici analizzati (multiculturalismo, dialogo interculturale), una domanda relativa a un case study tra quelli presentati e discussi durante il corso</w:t>
      </w:r>
      <w:r w:rsidRPr="000E137E">
        <w:t xml:space="preserve">. La prova è valutata in trentesimi e il voto finale </w:t>
      </w:r>
      <w:r>
        <w:t>si baserà sui seguenti criteri</w:t>
      </w:r>
      <w:r w:rsidRPr="000E137E">
        <w:t>:</w:t>
      </w:r>
    </w:p>
    <w:p w14:paraId="41EC65D7" w14:textId="77777777" w:rsidR="00A84BA3" w:rsidRDefault="00A84BA3" w:rsidP="00845614">
      <w:pPr>
        <w:pStyle w:val="Testo2"/>
        <w:ind w:left="568" w:hanging="284"/>
      </w:pPr>
      <w:r>
        <w:t>a)</w:t>
      </w:r>
      <w:r>
        <w:tab/>
        <w:t xml:space="preserve">la pertinenza delle risposte e la coerenza logica discorso (40%); </w:t>
      </w:r>
    </w:p>
    <w:p w14:paraId="250BBFF3" w14:textId="77777777" w:rsidR="00A84BA3" w:rsidRDefault="00A84BA3" w:rsidP="00845614">
      <w:pPr>
        <w:pStyle w:val="Testo2"/>
        <w:ind w:left="567" w:hanging="284"/>
      </w:pPr>
      <w:r>
        <w:t xml:space="preserve">b) </w:t>
      </w:r>
      <w:r>
        <w:tab/>
        <w:t xml:space="preserve"> la padronanza della terminologia specifica della disciplina e l’abilità nello stabilire e giustificare nessi argomentativi, relativamente a temi e concetti sviluppati durante il corso (40%);</w:t>
      </w:r>
    </w:p>
    <w:p w14:paraId="4ECF94C2" w14:textId="77777777" w:rsidR="00A84BA3" w:rsidRDefault="00A84BA3" w:rsidP="00845614">
      <w:pPr>
        <w:pStyle w:val="Testo2"/>
        <w:ind w:left="567" w:hanging="284"/>
      </w:pPr>
      <w:r>
        <w:t>c)</w:t>
      </w:r>
      <w:r>
        <w:tab/>
        <w:t>le abilità comunicative mostrate durante il colloquio (20%).</w:t>
      </w:r>
    </w:p>
    <w:p w14:paraId="0C8ABB42" w14:textId="77777777" w:rsidR="00A84BA3" w:rsidRDefault="00A84BA3" w:rsidP="00A84B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13E9237" w14:textId="77777777" w:rsidR="000C78F6" w:rsidRDefault="000C78F6" w:rsidP="0058405C">
      <w:pPr>
        <w:pStyle w:val="Testo2"/>
        <w:rPr>
          <w:i/>
        </w:rPr>
      </w:pPr>
      <w:r w:rsidRPr="000C78F6">
        <w:rPr>
          <w:i/>
        </w:rPr>
        <w:lastRenderedPageBreak/>
        <w:t>Nel caso in cui la situazione sanitaria relativa alla pandemia di Covid-19 non dovesse</w:t>
      </w:r>
      <w:r>
        <w:rPr>
          <w:i/>
        </w:rPr>
        <w:t xml:space="preserve"> </w:t>
      </w:r>
      <w:r w:rsidRPr="000C78F6">
        <w:rPr>
          <w:i/>
        </w:rPr>
        <w:t>consentire la didattica in presenza, sarà garantita l’erogazione a distanza dell’insegnamento con</w:t>
      </w:r>
      <w:r>
        <w:rPr>
          <w:i/>
        </w:rPr>
        <w:t xml:space="preserve"> </w:t>
      </w:r>
      <w:r w:rsidRPr="000C78F6">
        <w:rPr>
          <w:i/>
        </w:rPr>
        <w:t>modalità che verranno comunicate in tempo utile agli studenti</w:t>
      </w:r>
    </w:p>
    <w:p w14:paraId="6EEAB2C9" w14:textId="77777777" w:rsidR="00A84BA3" w:rsidRPr="0016074D" w:rsidRDefault="00A84BA3" w:rsidP="00A84BA3">
      <w:pPr>
        <w:pStyle w:val="Testo2"/>
        <w:rPr>
          <w:i/>
        </w:rPr>
      </w:pPr>
      <w:r w:rsidRPr="0016074D">
        <w:rPr>
          <w:i/>
        </w:rPr>
        <w:t>Orario e luogo di ricevimento</w:t>
      </w:r>
    </w:p>
    <w:p w14:paraId="3CD9ABB3" w14:textId="77777777" w:rsidR="00A84BA3" w:rsidRPr="00A84BA3" w:rsidRDefault="00A84BA3" w:rsidP="00A84BA3">
      <w:pPr>
        <w:pStyle w:val="Testo2"/>
      </w:pPr>
      <w:r w:rsidRPr="00A84BA3">
        <w:t>Il Prof. Paolo Gomarasca riceve gli studenti dopo ogni lezione e su appuntamento.</w:t>
      </w:r>
    </w:p>
    <w:sectPr w:rsidR="00A84BA3" w:rsidRPr="00A84BA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8711" w14:textId="77777777" w:rsidR="004E44D7" w:rsidRDefault="004E44D7" w:rsidP="004E44D7">
      <w:pPr>
        <w:spacing w:line="240" w:lineRule="auto"/>
      </w:pPr>
      <w:r>
        <w:separator/>
      </w:r>
    </w:p>
  </w:endnote>
  <w:endnote w:type="continuationSeparator" w:id="0">
    <w:p w14:paraId="39C0B532" w14:textId="77777777" w:rsidR="004E44D7" w:rsidRDefault="004E44D7" w:rsidP="004E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B7DD1" w14:textId="77777777" w:rsidR="004E44D7" w:rsidRDefault="004E44D7" w:rsidP="004E44D7">
      <w:pPr>
        <w:spacing w:line="240" w:lineRule="auto"/>
      </w:pPr>
      <w:r>
        <w:separator/>
      </w:r>
    </w:p>
  </w:footnote>
  <w:footnote w:type="continuationSeparator" w:id="0">
    <w:p w14:paraId="7090E713" w14:textId="77777777" w:rsidR="004E44D7" w:rsidRDefault="004E44D7" w:rsidP="004E44D7">
      <w:pPr>
        <w:spacing w:line="240" w:lineRule="auto"/>
      </w:pPr>
      <w:r>
        <w:continuationSeparator/>
      </w:r>
    </w:p>
  </w:footnote>
  <w:footnote w:id="1">
    <w:p w14:paraId="226EB594" w14:textId="0A82CEE4" w:rsidR="004E44D7" w:rsidRDefault="004E44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3"/>
    <w:rsid w:val="000C78F6"/>
    <w:rsid w:val="001249C1"/>
    <w:rsid w:val="00187B99"/>
    <w:rsid w:val="002014DD"/>
    <w:rsid w:val="002D5E17"/>
    <w:rsid w:val="00383DA9"/>
    <w:rsid w:val="004D1217"/>
    <w:rsid w:val="004D6008"/>
    <w:rsid w:val="004E44D7"/>
    <w:rsid w:val="0058405C"/>
    <w:rsid w:val="00640794"/>
    <w:rsid w:val="006F1772"/>
    <w:rsid w:val="00845614"/>
    <w:rsid w:val="008942E7"/>
    <w:rsid w:val="008A1204"/>
    <w:rsid w:val="00900CCA"/>
    <w:rsid w:val="00924B77"/>
    <w:rsid w:val="00940DA2"/>
    <w:rsid w:val="00986C8B"/>
    <w:rsid w:val="009E055C"/>
    <w:rsid w:val="00A74F6F"/>
    <w:rsid w:val="00A84BA3"/>
    <w:rsid w:val="00AD7557"/>
    <w:rsid w:val="00B50C5D"/>
    <w:rsid w:val="00B51253"/>
    <w:rsid w:val="00B525CC"/>
    <w:rsid w:val="00B63AD8"/>
    <w:rsid w:val="00D404F2"/>
    <w:rsid w:val="00E24E3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456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E44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44D7"/>
  </w:style>
  <w:style w:type="character" w:styleId="Rimandonotaapidipagina">
    <w:name w:val="footnote reference"/>
    <w:basedOn w:val="Carpredefinitoparagrafo"/>
    <w:rsid w:val="004E44D7"/>
    <w:rPr>
      <w:vertAlign w:val="superscript"/>
    </w:rPr>
  </w:style>
  <w:style w:type="character" w:styleId="Collegamentoipertestuale">
    <w:name w:val="Hyperlink"/>
    <w:basedOn w:val="Carpredefinitoparagrafo"/>
    <w:rsid w:val="004E44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456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E44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44D7"/>
  </w:style>
  <w:style w:type="character" w:styleId="Rimandonotaapidipagina">
    <w:name w:val="footnote reference"/>
    <w:basedOn w:val="Carpredefinitoparagrafo"/>
    <w:rsid w:val="004E44D7"/>
    <w:rPr>
      <w:vertAlign w:val="superscript"/>
    </w:rPr>
  </w:style>
  <w:style w:type="character" w:styleId="Collegamentoipertestuale">
    <w:name w:val="Hyperlink"/>
    <w:basedOn w:val="Carpredefinitoparagrafo"/>
    <w:rsid w:val="004E4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eyla-benhabib/i-diritti-degli-altri-stranieri-residenti-cittadini-9788860300249-2947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1F48-C80B-4A12-B8B2-3B3D702A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639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2021-05-20T08:15:00Z</dcterms:created>
  <dcterms:modified xsi:type="dcterms:W3CDTF">2021-07-08T07:06:00Z</dcterms:modified>
</cp:coreProperties>
</file>