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80E4" w14:textId="77777777" w:rsidR="00C108AF" w:rsidRDefault="00C108AF" w:rsidP="00C108AF">
      <w:pPr>
        <w:pStyle w:val="Titolo1"/>
      </w:pPr>
      <w:r>
        <w:t>Etica e deontologia professionale</w:t>
      </w:r>
    </w:p>
    <w:p w14:paraId="1D7467F9" w14:textId="77777777" w:rsidR="00C108AF" w:rsidRDefault="00C108AF" w:rsidP="00C108AF">
      <w:pPr>
        <w:pStyle w:val="Titolo2"/>
      </w:pPr>
      <w:r>
        <w:t>Prof. Paolo Gomarasca</w:t>
      </w:r>
    </w:p>
    <w:p w14:paraId="15C57754" w14:textId="77777777" w:rsidR="002D5E17" w:rsidRDefault="00C108AF" w:rsidP="00C108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7F8A03" w14:textId="77777777" w:rsidR="00C108AF" w:rsidRDefault="00C108AF" w:rsidP="00FE2917">
      <w:pPr>
        <w:spacing w:line="240" w:lineRule="exact"/>
      </w:pPr>
      <w:r>
        <w:t>Obiettivi del corso:</w:t>
      </w:r>
    </w:p>
    <w:p w14:paraId="5EDE6D47" w14:textId="77777777" w:rsidR="00C108AF" w:rsidRDefault="00C108AF" w:rsidP="00FE2917">
      <w:pPr>
        <w:spacing w:line="240" w:lineRule="exact"/>
      </w:pPr>
      <w:r>
        <w:t>Il corso mira a conseguire due livelli principali di analisi dell’etica nel servizio sociale. Più specificamente un livello teorico e uno pratico-deliberativo:</w:t>
      </w:r>
    </w:p>
    <w:p w14:paraId="161334FB" w14:textId="77777777" w:rsidR="00C108AF" w:rsidRDefault="00C108AF" w:rsidP="00FE2917">
      <w:pPr>
        <w:spacing w:line="240" w:lineRule="exact"/>
        <w:ind w:left="284" w:hanging="284"/>
      </w:pPr>
      <w:r>
        <w:t>1.</w:t>
      </w:r>
      <w:r>
        <w:tab/>
        <w:t xml:space="preserve">livello teorico: analisi della rilevanza etica e politica dell’atto professionale dell’assistente sociale, anche in base a quanto disposto dal codice deontologico. </w:t>
      </w:r>
    </w:p>
    <w:p w14:paraId="79E44225" w14:textId="77777777" w:rsidR="00C108AF" w:rsidRDefault="00C108AF" w:rsidP="00FE2917">
      <w:pPr>
        <w:spacing w:line="240" w:lineRule="exact"/>
        <w:ind w:left="284" w:hanging="284"/>
      </w:pPr>
      <w:r>
        <w:t>2.</w:t>
      </w:r>
      <w:r>
        <w:tab/>
        <w:t xml:space="preserve"> livello pratico-deliberativo: illustrazione preliminare delle principali metodologie di ragionamento pratico e problem-solving etico; presentazione e discussione di case-studies, che si caratterizzano come dilemmi tipicamente etici, dove non è immediatamente chiaro quale sia il corso d’azione ottimale in relazione al benessere dei clienti/utenti coinvolti nel progetto di aiuto. </w:t>
      </w:r>
    </w:p>
    <w:p w14:paraId="44CA71CA" w14:textId="77777777" w:rsidR="00C108AF" w:rsidRDefault="00C108AF" w:rsidP="00FE2917">
      <w:pPr>
        <w:spacing w:before="120" w:line="240" w:lineRule="exact"/>
        <w:ind w:left="284" w:hanging="284"/>
      </w:pPr>
      <w:r>
        <w:t>Risultati di apprendimento attesi:</w:t>
      </w:r>
    </w:p>
    <w:p w14:paraId="257C1F09" w14:textId="77777777" w:rsidR="00C108AF" w:rsidRDefault="00FE2917" w:rsidP="00FE2917">
      <w:pPr>
        <w:spacing w:line="240" w:lineRule="exact"/>
        <w:ind w:left="284" w:hanging="284"/>
      </w:pPr>
      <w:r>
        <w:t>1.</w:t>
      </w:r>
      <w:r>
        <w:tab/>
      </w:r>
      <w:r w:rsidR="00C108AF">
        <w:t>Conoscenza e comprensione</w:t>
      </w:r>
    </w:p>
    <w:p w14:paraId="25BF6F24" w14:textId="77777777" w:rsidR="00C108AF" w:rsidRDefault="00C108AF" w:rsidP="00FE2917">
      <w:pPr>
        <w:spacing w:line="240" w:lineRule="exact"/>
        <w:ind w:left="284" w:hanging="284"/>
      </w:pPr>
      <w:r>
        <w:t>Al termine dell’insegnamento, lo studente sarà in grado di:</w:t>
      </w:r>
    </w:p>
    <w:p w14:paraId="3C178DDF" w14:textId="77777777" w:rsidR="00C108AF" w:rsidRDefault="00FE2917" w:rsidP="00FE2917">
      <w:pPr>
        <w:spacing w:line="240" w:lineRule="exact"/>
        <w:ind w:left="284" w:hanging="284"/>
      </w:pPr>
      <w:r>
        <w:t>a)</w:t>
      </w:r>
      <w:r>
        <w:tab/>
      </w:r>
      <w:r w:rsidR="00C108AF">
        <w:t>giustificare</w:t>
      </w:r>
      <w:r w:rsidR="00C108AF" w:rsidRPr="00C56D4F">
        <w:t xml:space="preserve"> dal punto di vista teorico</w:t>
      </w:r>
      <w:r w:rsidR="00C108AF">
        <w:t xml:space="preserve"> il triplice nesso tra consapevolezza etica, codice deontologico e qualità del servizio professionale offerto;</w:t>
      </w:r>
    </w:p>
    <w:p w14:paraId="6EAA7D06" w14:textId="77777777" w:rsidR="00C108AF" w:rsidRDefault="00FE2917" w:rsidP="00FE2917">
      <w:pPr>
        <w:spacing w:line="240" w:lineRule="exact"/>
        <w:ind w:left="284" w:hanging="284"/>
      </w:pPr>
      <w:r>
        <w:t>b)</w:t>
      </w:r>
      <w:r>
        <w:tab/>
      </w:r>
      <w:r w:rsidR="00C108AF">
        <w:t>conoscere i principali modelli decisionali in etica e identificare i dilemmi morali rilevanti della professione.</w:t>
      </w:r>
    </w:p>
    <w:p w14:paraId="1D8B474B" w14:textId="77777777" w:rsidR="00C108AF" w:rsidRDefault="00FE2917" w:rsidP="00FE2917">
      <w:pPr>
        <w:spacing w:before="120" w:line="240" w:lineRule="exact"/>
        <w:ind w:left="284" w:hanging="284"/>
      </w:pPr>
      <w:r>
        <w:t>2.</w:t>
      </w:r>
      <w:r>
        <w:tab/>
      </w:r>
      <w:r w:rsidR="00C108AF">
        <w:t>Capacità di applicare conoscenza e comprensione</w:t>
      </w:r>
    </w:p>
    <w:p w14:paraId="033AC252" w14:textId="77777777" w:rsidR="00C108AF" w:rsidRDefault="00C108AF" w:rsidP="00FE2917">
      <w:pPr>
        <w:spacing w:line="240" w:lineRule="exact"/>
        <w:ind w:left="284" w:hanging="284"/>
      </w:pPr>
      <w:r>
        <w:t>Al termine dell’insegnamento, lo studente sarà in grado di:</w:t>
      </w:r>
    </w:p>
    <w:p w14:paraId="003D6E81" w14:textId="77777777" w:rsidR="00C108AF" w:rsidRDefault="00FE2917" w:rsidP="00FE2917">
      <w:pPr>
        <w:spacing w:line="240" w:lineRule="exact"/>
        <w:ind w:left="284" w:hanging="284"/>
      </w:pPr>
      <w:r>
        <w:t>a)</w:t>
      </w:r>
      <w:r>
        <w:tab/>
      </w:r>
      <w:r w:rsidR="00C108AF">
        <w:t>collegare i casi di studio analizzati alla normativa di riferimento implementata nel codice deontologico.</w:t>
      </w:r>
    </w:p>
    <w:p w14:paraId="4FC4EC82" w14:textId="77777777" w:rsidR="00C108AF" w:rsidRDefault="00FE2917" w:rsidP="00FE2917">
      <w:pPr>
        <w:spacing w:line="240" w:lineRule="exact"/>
        <w:ind w:left="284" w:hanging="284"/>
      </w:pPr>
      <w:r>
        <w:t>b)</w:t>
      </w:r>
      <w:r>
        <w:tab/>
      </w:r>
      <w:r w:rsidR="00C108AF">
        <w:t>sviluppare alcune competenze deliberative di base, necessarie per affrontare i dilemmi deontologici, promuovendo spazi di confronto e discussione.</w:t>
      </w:r>
    </w:p>
    <w:p w14:paraId="50B2170E" w14:textId="77777777" w:rsidR="00C108AF" w:rsidRDefault="00C108AF" w:rsidP="00C108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2B49E1" w14:textId="77777777" w:rsidR="00C108AF" w:rsidRDefault="00C108AF" w:rsidP="00FE2917">
      <w:pPr>
        <w:spacing w:line="240" w:lineRule="exact"/>
        <w:ind w:left="284" w:hanging="284"/>
      </w:pPr>
      <w:r>
        <w:t>1.</w:t>
      </w:r>
      <w:r>
        <w:tab/>
        <w:t>Il servizio sociale come insieme di atti che</w:t>
      </w:r>
      <w:r w:rsidR="00FE2917">
        <w:t xml:space="preserve"> mirano alla promozione e allo </w:t>
      </w:r>
      <w:r>
        <w:t>sviluppo delle capacità di soggetti in difficoltà.</w:t>
      </w:r>
    </w:p>
    <w:p w14:paraId="26BE15C1" w14:textId="77777777" w:rsidR="00C108AF" w:rsidRDefault="00C108AF" w:rsidP="00FE2917">
      <w:pPr>
        <w:spacing w:line="240" w:lineRule="exact"/>
        <w:ind w:left="284" w:hanging="284"/>
      </w:pPr>
      <w:r>
        <w:t>2.</w:t>
      </w:r>
      <w:r>
        <w:tab/>
        <w:t>L’impatto con la vulnerabilità e la sua pregnanza etica e politica.</w:t>
      </w:r>
    </w:p>
    <w:p w14:paraId="65555EDC" w14:textId="77777777" w:rsidR="00C108AF" w:rsidRDefault="00C108AF" w:rsidP="00FE2917">
      <w:pPr>
        <w:spacing w:line="240" w:lineRule="exact"/>
        <w:ind w:left="284" w:hanging="284"/>
      </w:pPr>
      <w:r>
        <w:t>3.</w:t>
      </w:r>
      <w:r>
        <w:tab/>
        <w:t>I dilemmi etici dell’operatore e il codice deontologico.</w:t>
      </w:r>
    </w:p>
    <w:p w14:paraId="1724FE48" w14:textId="77777777" w:rsidR="00C108AF" w:rsidRDefault="00C108AF" w:rsidP="00FE2917">
      <w:pPr>
        <w:spacing w:line="240" w:lineRule="exact"/>
        <w:ind w:left="284" w:hanging="284"/>
      </w:pPr>
      <w:r>
        <w:t>4.</w:t>
      </w:r>
      <w:r>
        <w:tab/>
        <w:t>L’etica della cura.</w:t>
      </w:r>
    </w:p>
    <w:p w14:paraId="013BDA44" w14:textId="77777777" w:rsidR="00C108AF" w:rsidRDefault="00C108AF" w:rsidP="00FE2917">
      <w:pPr>
        <w:spacing w:line="240" w:lineRule="exact"/>
        <w:ind w:left="284" w:hanging="284"/>
      </w:pPr>
      <w:r>
        <w:t>5.</w:t>
      </w:r>
      <w:r>
        <w:tab/>
        <w:t>Discussione di casi.</w:t>
      </w:r>
    </w:p>
    <w:p w14:paraId="70310877" w14:textId="467AEDEB" w:rsidR="00C108AF" w:rsidRPr="00FE2917" w:rsidRDefault="00C108AF" w:rsidP="00FE29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E6CCF">
        <w:rPr>
          <w:rStyle w:val="Rimandonotaapidipagina"/>
          <w:b/>
          <w:i/>
          <w:sz w:val="18"/>
        </w:rPr>
        <w:footnoteReference w:id="1"/>
      </w:r>
    </w:p>
    <w:p w14:paraId="241EAC0D" w14:textId="1EB66692" w:rsidR="00C108AF" w:rsidRDefault="00C108AF" w:rsidP="00FE2917">
      <w:pPr>
        <w:pStyle w:val="Testo1"/>
      </w:pPr>
      <w:r>
        <w:t>Per i frequentanti</w:t>
      </w:r>
    </w:p>
    <w:p w14:paraId="47BB469D" w14:textId="1DC045CB" w:rsidR="00C108AF" w:rsidRPr="00FE2917" w:rsidRDefault="00C108AF" w:rsidP="00FE2917">
      <w:pPr>
        <w:pStyle w:val="Testo1"/>
        <w:spacing w:before="0"/>
      </w:pPr>
      <w:r w:rsidRPr="00FE2917">
        <w:t>S. Banks</w:t>
      </w:r>
      <w:r w:rsidR="00FE2917" w:rsidRPr="00FE2917">
        <w:t>-</w:t>
      </w:r>
      <w:r w:rsidRPr="00FE2917">
        <w:t xml:space="preserve">K. Nohr (a cura di), </w:t>
      </w:r>
      <w:r w:rsidRPr="00C563C2">
        <w:rPr>
          <w:i/>
          <w:iCs/>
        </w:rPr>
        <w:t>L’etica in pratica nel servizio sociale. Casi e commenti in prospettiva internazionale</w:t>
      </w:r>
      <w:r w:rsidRPr="00FE2917">
        <w:t>, tr. it. Erikson, Trento, 2014.</w:t>
      </w:r>
      <w:r w:rsidR="009E6CCF">
        <w:t xml:space="preserve"> </w:t>
      </w:r>
      <w:hyperlink r:id="rId8" w:history="1">
        <w:r w:rsidR="009E6CCF" w:rsidRPr="009E6CC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90D158" w14:textId="77777777" w:rsidR="00C108AF" w:rsidRPr="00FE2917" w:rsidRDefault="00FE2917" w:rsidP="00FE2917">
      <w:pPr>
        <w:pStyle w:val="Testo1"/>
        <w:spacing w:before="0"/>
      </w:pPr>
      <w:r>
        <w:t xml:space="preserve">A. </w:t>
      </w:r>
      <w:r w:rsidR="00C108AF" w:rsidRPr="00FE2917">
        <w:t xml:space="preserve">Rossiter, </w:t>
      </w:r>
      <w:r w:rsidR="00C108AF" w:rsidRPr="00C563C2">
        <w:rPr>
          <w:i/>
          <w:iCs/>
        </w:rPr>
        <w:t>L’etica di Lévinas e il lavoro sociale</w:t>
      </w:r>
      <w:r w:rsidR="00C108AF" w:rsidRPr="00FE2917">
        <w:t>, in “Lavoro sociale”, 2011, 11 (2): 163-178.</w:t>
      </w:r>
    </w:p>
    <w:p w14:paraId="2CBC14C8" w14:textId="77777777" w:rsidR="00C108AF" w:rsidRPr="005E7225" w:rsidRDefault="00C108AF" w:rsidP="00C108AF">
      <w:pPr>
        <w:pStyle w:val="Testo1"/>
        <w:spacing w:line="240" w:lineRule="atLeast"/>
        <w:rPr>
          <w:spacing w:val="-5"/>
          <w:szCs w:val="18"/>
        </w:rPr>
      </w:pPr>
      <w:r w:rsidRPr="00315324">
        <w:rPr>
          <w:spacing w:val="-5"/>
          <w:szCs w:val="18"/>
        </w:rPr>
        <w:t>Ulteriore bibliografia verrà indicata durante il corso</w:t>
      </w:r>
      <w:r>
        <w:rPr>
          <w:spacing w:val="-5"/>
          <w:szCs w:val="18"/>
        </w:rPr>
        <w:t>.</w:t>
      </w:r>
    </w:p>
    <w:p w14:paraId="46760137" w14:textId="77777777" w:rsidR="00C108AF" w:rsidRDefault="00C108AF" w:rsidP="00FE2917">
      <w:pPr>
        <w:pStyle w:val="Testo1"/>
      </w:pPr>
      <w:r>
        <w:t>Per i non-frequentanti</w:t>
      </w:r>
    </w:p>
    <w:p w14:paraId="38197C8A" w14:textId="0A1EF1B6" w:rsidR="00C108AF" w:rsidRDefault="00C108AF" w:rsidP="00FE2917">
      <w:pPr>
        <w:pStyle w:val="Testo1"/>
        <w:spacing w:before="0"/>
        <w:rPr>
          <w:spacing w:val="-5"/>
        </w:rPr>
      </w:pPr>
      <w:r>
        <w:t>In aggiunta ai testi sopra indicati per i frequentanti:</w:t>
      </w:r>
      <w:r w:rsidRPr="00967622">
        <w:rPr>
          <w:spacing w:val="-5"/>
        </w:rPr>
        <w:t xml:space="preserve"> </w:t>
      </w:r>
    </w:p>
    <w:p w14:paraId="44CB80A4" w14:textId="1891CB07" w:rsidR="00C108AF" w:rsidRPr="00FE2917" w:rsidRDefault="00C563C2" w:rsidP="00FE2917">
      <w:pPr>
        <w:pStyle w:val="Testo1"/>
        <w:spacing w:before="0"/>
      </w:pPr>
      <w:r>
        <w:t>M. Nussbaum</w:t>
      </w:r>
      <w:r w:rsidR="00C108AF" w:rsidRPr="00FE2917">
        <w:t xml:space="preserve">, </w:t>
      </w:r>
      <w:r w:rsidRPr="00C563C2">
        <w:rPr>
          <w:i/>
          <w:iCs/>
        </w:rPr>
        <w:t>Persona oggetto</w:t>
      </w:r>
      <w:r>
        <w:t>, tr. it. Erickson, Trento, 2014</w:t>
      </w:r>
      <w:r w:rsidR="00C108AF" w:rsidRPr="00FE2917">
        <w:t>.</w:t>
      </w:r>
      <w:r w:rsidR="009E6CCF">
        <w:t xml:space="preserve"> </w:t>
      </w:r>
      <w:hyperlink r:id="rId9" w:history="1">
        <w:r w:rsidR="009E6CCF" w:rsidRPr="009E6CC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E12EA7F" w14:textId="7C1DB5B1" w:rsidR="00C108AF" w:rsidRPr="00FE2917" w:rsidRDefault="00C108AF" w:rsidP="00FE2917">
      <w:pPr>
        <w:pStyle w:val="Testo1"/>
        <w:spacing w:before="0"/>
      </w:pPr>
      <w:r w:rsidRPr="00FE2917">
        <w:t xml:space="preserve">M. Barnes, </w:t>
      </w:r>
      <w:r w:rsidRPr="00C563C2">
        <w:rPr>
          <w:i/>
          <w:iCs/>
        </w:rPr>
        <w:t>Storie di caregiver. Il senso della cura</w:t>
      </w:r>
      <w:r w:rsidRPr="00FE2917">
        <w:t>, tr. it. Erickson, Trento, 2010.</w:t>
      </w:r>
      <w:r w:rsidR="009E6CCF">
        <w:t xml:space="preserve"> </w:t>
      </w:r>
      <w:hyperlink r:id="rId10" w:history="1">
        <w:r w:rsidR="009E6CCF" w:rsidRPr="009E6CC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BAD896" w14:textId="3E08FEA8" w:rsidR="00C108AF" w:rsidRPr="00FE2917" w:rsidRDefault="00C108AF" w:rsidP="00FE2917">
      <w:pPr>
        <w:pStyle w:val="Testo1"/>
        <w:spacing w:before="0"/>
      </w:pPr>
      <w:r w:rsidRPr="00FE2917">
        <w:t xml:space="preserve">E.F. Kittay, </w:t>
      </w:r>
      <w:r w:rsidRPr="00C563C2">
        <w:rPr>
          <w:i/>
          <w:iCs/>
        </w:rPr>
        <w:t>La cura dell’amore. Donne, uguaglianza, dipendenza</w:t>
      </w:r>
      <w:r w:rsidRPr="00FE2917">
        <w:t>, tr. it. Vita&amp;Pensiero, Milano, 2010.</w:t>
      </w:r>
      <w:r w:rsidR="009E6CCF">
        <w:t xml:space="preserve"> </w:t>
      </w:r>
      <w:hyperlink r:id="rId11" w:history="1">
        <w:r w:rsidR="009E6CCF" w:rsidRPr="009E6CC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913D327" w14:textId="77777777" w:rsidR="00C108AF" w:rsidRDefault="00C108AF" w:rsidP="00C108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983EC8" w14:textId="77777777" w:rsidR="00C108AF" w:rsidRDefault="00C108AF" w:rsidP="00FE2917">
      <w:pPr>
        <w:pStyle w:val="Testo2"/>
        <w:tabs>
          <w:tab w:val="left" w:pos="567"/>
        </w:tabs>
        <w:ind w:left="284" w:firstLine="0"/>
      </w:pPr>
      <w:r>
        <w:t>–</w:t>
      </w:r>
      <w:r>
        <w:tab/>
        <w:t>Lezioni frontali.</w:t>
      </w:r>
    </w:p>
    <w:p w14:paraId="63AD60A9" w14:textId="77777777" w:rsidR="00C108AF" w:rsidRDefault="00C108AF" w:rsidP="00FE2917">
      <w:pPr>
        <w:pStyle w:val="Testo2"/>
        <w:tabs>
          <w:tab w:val="left" w:pos="567"/>
        </w:tabs>
        <w:ind w:left="284" w:firstLine="0"/>
      </w:pPr>
      <w:r>
        <w:t>–</w:t>
      </w:r>
      <w:r>
        <w:tab/>
        <w:t>Esercitazioni (presentazione e discussione di casi).</w:t>
      </w:r>
    </w:p>
    <w:p w14:paraId="0D6223B7" w14:textId="77777777" w:rsidR="00C108AF" w:rsidRDefault="00C108AF" w:rsidP="00C108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00E1AD" w14:textId="77777777" w:rsidR="00C108AF" w:rsidRPr="000E137E" w:rsidRDefault="00C108AF" w:rsidP="00FE2917">
      <w:pPr>
        <w:pStyle w:val="Testo2"/>
      </w:pPr>
      <w:r w:rsidRPr="000E137E">
        <w:t xml:space="preserve">La verifica dell’apprendimento prevede una prova orale secondo le seguenti modalità: due domande relative </w:t>
      </w:r>
      <w:r>
        <w:t>alla parte teorica, una domanda sul codice deontologico e una domanda relativa a un case-</w:t>
      </w:r>
      <w:r w:rsidRPr="000E137E">
        <w:t xml:space="preserve">study. La prova è valutata in trentesimi e il voto finale </w:t>
      </w:r>
      <w:r>
        <w:t>si baserà sui seguenti criteri</w:t>
      </w:r>
      <w:r w:rsidRPr="000E137E">
        <w:t>:</w:t>
      </w:r>
    </w:p>
    <w:p w14:paraId="01DE5430" w14:textId="77777777" w:rsidR="00C108AF" w:rsidRDefault="00FE2917" w:rsidP="00FE2917">
      <w:p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</w:r>
      <w:r w:rsidR="00C108AF" w:rsidRPr="000E137E">
        <w:rPr>
          <w:sz w:val="18"/>
          <w:szCs w:val="18"/>
        </w:rPr>
        <w:t xml:space="preserve">la capacità di argomentazione e rigore analitico </w:t>
      </w:r>
      <w:r w:rsidR="00C108AF">
        <w:rPr>
          <w:sz w:val="18"/>
          <w:szCs w:val="18"/>
        </w:rPr>
        <w:t>relativamente a temi e</w:t>
      </w:r>
      <w:r w:rsidR="00C108AF" w:rsidRPr="000E137E">
        <w:rPr>
          <w:sz w:val="18"/>
          <w:szCs w:val="18"/>
        </w:rPr>
        <w:t xml:space="preserve"> concetti sviluppati durante il corso</w:t>
      </w:r>
      <w:r w:rsidR="00C108AF">
        <w:rPr>
          <w:sz w:val="18"/>
          <w:szCs w:val="18"/>
        </w:rPr>
        <w:t>, così come della conoscenza della struttura normativa del codice deontologico</w:t>
      </w:r>
      <w:r w:rsidR="00C108AF" w:rsidRPr="000E137E">
        <w:rPr>
          <w:sz w:val="18"/>
          <w:szCs w:val="18"/>
        </w:rPr>
        <w:t xml:space="preserve"> (</w:t>
      </w:r>
      <w:r w:rsidR="00C108AF">
        <w:rPr>
          <w:sz w:val="18"/>
          <w:szCs w:val="18"/>
        </w:rPr>
        <w:t>40</w:t>
      </w:r>
      <w:r w:rsidR="00C108AF" w:rsidRPr="000E137E">
        <w:rPr>
          <w:sz w:val="18"/>
          <w:szCs w:val="18"/>
        </w:rPr>
        <w:t>%);</w:t>
      </w:r>
      <w:r w:rsidR="00C108AF">
        <w:rPr>
          <w:sz w:val="18"/>
          <w:szCs w:val="18"/>
        </w:rPr>
        <w:t xml:space="preserve"> </w:t>
      </w:r>
    </w:p>
    <w:p w14:paraId="49505A9A" w14:textId="77777777" w:rsidR="00C108AF" w:rsidRPr="000E137E" w:rsidRDefault="00FE2917" w:rsidP="00FE2917">
      <w:p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</w:r>
      <w:r w:rsidR="00C108AF">
        <w:rPr>
          <w:sz w:val="18"/>
          <w:szCs w:val="18"/>
        </w:rPr>
        <w:t>la capacità di identificare un dilemma etico, di riferirlo correttamente al codice deontologico e di applicare la metodologia di problem-solving adeguata (40%);</w:t>
      </w:r>
    </w:p>
    <w:p w14:paraId="2AB0A363" w14:textId="77777777" w:rsidR="00C108AF" w:rsidRPr="000E137E" w:rsidRDefault="00FE2917" w:rsidP="00FE2917">
      <w:p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</w:r>
      <w:r w:rsidR="00C108AF" w:rsidRPr="000E137E">
        <w:rPr>
          <w:sz w:val="18"/>
          <w:szCs w:val="18"/>
        </w:rPr>
        <w:t>la proprietà di linguaggio e delle abilità comunicative mostrate durante il colloquio (</w:t>
      </w:r>
      <w:r w:rsidR="00C108AF">
        <w:rPr>
          <w:sz w:val="18"/>
          <w:szCs w:val="18"/>
        </w:rPr>
        <w:t>2</w:t>
      </w:r>
      <w:r w:rsidR="00C108AF" w:rsidRPr="000E137E">
        <w:rPr>
          <w:sz w:val="18"/>
          <w:szCs w:val="18"/>
        </w:rPr>
        <w:t>0%).</w:t>
      </w:r>
    </w:p>
    <w:p w14:paraId="5578C47C" w14:textId="77777777" w:rsidR="00C108AF" w:rsidRDefault="00C108AF" w:rsidP="00C108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16B9BE" w14:textId="77777777" w:rsidR="004E48C6" w:rsidRDefault="004E48C6" w:rsidP="009E424E">
      <w:pPr>
        <w:pStyle w:val="Testo2"/>
        <w:rPr>
          <w:i/>
        </w:rPr>
      </w:pPr>
      <w:r w:rsidRPr="004E48C6">
        <w:rPr>
          <w:i/>
        </w:rPr>
        <w:t>Nel caso in cui la situazione sanitaria relativa alla pandemia di Covid-19 non dovesse</w:t>
      </w:r>
      <w:r>
        <w:rPr>
          <w:i/>
        </w:rPr>
        <w:t xml:space="preserve"> </w:t>
      </w:r>
      <w:r w:rsidRPr="004E48C6">
        <w:rPr>
          <w:i/>
        </w:rPr>
        <w:t>consentire la didattica in presenza, sarà garantita l’erogazione a distanza</w:t>
      </w:r>
      <w:r>
        <w:rPr>
          <w:i/>
        </w:rPr>
        <w:t xml:space="preserve"> </w:t>
      </w:r>
      <w:r w:rsidRPr="004E48C6">
        <w:rPr>
          <w:i/>
        </w:rPr>
        <w:t>dell’insegnamento con</w:t>
      </w:r>
      <w:r>
        <w:rPr>
          <w:i/>
        </w:rPr>
        <w:t xml:space="preserve"> </w:t>
      </w:r>
      <w:r w:rsidRPr="004E48C6">
        <w:rPr>
          <w:i/>
        </w:rPr>
        <w:t>modalità che verranno comunicate in tempo utile agli studenti</w:t>
      </w:r>
    </w:p>
    <w:p w14:paraId="731D30C1" w14:textId="77777777" w:rsidR="00C108AF" w:rsidRPr="0053246C" w:rsidRDefault="00C108AF" w:rsidP="00E3333E">
      <w:pPr>
        <w:pStyle w:val="Testo2"/>
        <w:spacing w:before="120"/>
        <w:rPr>
          <w:i/>
        </w:rPr>
      </w:pPr>
      <w:r w:rsidRPr="0053246C">
        <w:rPr>
          <w:i/>
        </w:rPr>
        <w:t>Orario e luogo di ricevimento</w:t>
      </w:r>
    </w:p>
    <w:p w14:paraId="41E44FE1" w14:textId="77777777" w:rsidR="00C108AF" w:rsidRPr="00C108AF" w:rsidRDefault="00C108AF" w:rsidP="00C108AF">
      <w:pPr>
        <w:pStyle w:val="Testo2"/>
      </w:pPr>
      <w:r>
        <w:lastRenderedPageBreak/>
        <w:t xml:space="preserve">Il </w:t>
      </w:r>
      <w:r w:rsidRPr="00C108AF">
        <w:t>Prof. Paolo Gomarasca riceve gli studenti dopo ogni lezione e su appuntamento</w:t>
      </w:r>
    </w:p>
    <w:sectPr w:rsidR="00C108AF" w:rsidRPr="00C108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FA08" w14:textId="77777777" w:rsidR="009E6CCF" w:rsidRDefault="009E6CCF" w:rsidP="009E6CCF">
      <w:pPr>
        <w:spacing w:line="240" w:lineRule="auto"/>
      </w:pPr>
      <w:r>
        <w:separator/>
      </w:r>
    </w:p>
  </w:endnote>
  <w:endnote w:type="continuationSeparator" w:id="0">
    <w:p w14:paraId="07EDB361" w14:textId="77777777" w:rsidR="009E6CCF" w:rsidRDefault="009E6CCF" w:rsidP="009E6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BF944" w14:textId="77777777" w:rsidR="009E6CCF" w:rsidRDefault="009E6CCF" w:rsidP="009E6CCF">
      <w:pPr>
        <w:spacing w:line="240" w:lineRule="auto"/>
      </w:pPr>
      <w:r>
        <w:separator/>
      </w:r>
    </w:p>
  </w:footnote>
  <w:footnote w:type="continuationSeparator" w:id="0">
    <w:p w14:paraId="2AFC8ECF" w14:textId="77777777" w:rsidR="009E6CCF" w:rsidRDefault="009E6CCF" w:rsidP="009E6CCF">
      <w:pPr>
        <w:spacing w:line="240" w:lineRule="auto"/>
      </w:pPr>
      <w:r>
        <w:continuationSeparator/>
      </w:r>
    </w:p>
  </w:footnote>
  <w:footnote w:id="1">
    <w:p w14:paraId="75061C6C" w14:textId="63F45916" w:rsidR="009E6CCF" w:rsidRDefault="009E6C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AF"/>
    <w:rsid w:val="00187B99"/>
    <w:rsid w:val="002014DD"/>
    <w:rsid w:val="002D5E17"/>
    <w:rsid w:val="003336C9"/>
    <w:rsid w:val="003900C3"/>
    <w:rsid w:val="004D1217"/>
    <w:rsid w:val="004D6008"/>
    <w:rsid w:val="004E48C6"/>
    <w:rsid w:val="00640794"/>
    <w:rsid w:val="006F1772"/>
    <w:rsid w:val="008942E7"/>
    <w:rsid w:val="008A1204"/>
    <w:rsid w:val="00900CCA"/>
    <w:rsid w:val="00924B77"/>
    <w:rsid w:val="00940DA2"/>
    <w:rsid w:val="009B5318"/>
    <w:rsid w:val="009E055C"/>
    <w:rsid w:val="009E424E"/>
    <w:rsid w:val="009E6CCF"/>
    <w:rsid w:val="00A74F6F"/>
    <w:rsid w:val="00AD7557"/>
    <w:rsid w:val="00B50C5D"/>
    <w:rsid w:val="00B51253"/>
    <w:rsid w:val="00B525CC"/>
    <w:rsid w:val="00C108AF"/>
    <w:rsid w:val="00C563C2"/>
    <w:rsid w:val="00D404F2"/>
    <w:rsid w:val="00E3333E"/>
    <w:rsid w:val="00E607E6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2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108AF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8A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FE29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E6CC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6CCF"/>
  </w:style>
  <w:style w:type="character" w:styleId="Rimandonotaapidipagina">
    <w:name w:val="footnote reference"/>
    <w:basedOn w:val="Carpredefinitoparagrafo"/>
    <w:rsid w:val="009E6CCF"/>
    <w:rPr>
      <w:vertAlign w:val="superscript"/>
    </w:rPr>
  </w:style>
  <w:style w:type="character" w:styleId="Collegamentoipertestuale">
    <w:name w:val="Hyperlink"/>
    <w:basedOn w:val="Carpredefinitoparagrafo"/>
    <w:rsid w:val="009E6C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108AF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8A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FE29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E6CC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6CCF"/>
  </w:style>
  <w:style w:type="character" w:styleId="Rimandonotaapidipagina">
    <w:name w:val="footnote reference"/>
    <w:basedOn w:val="Carpredefinitoparagrafo"/>
    <w:rsid w:val="009E6CCF"/>
    <w:rPr>
      <w:vertAlign w:val="superscript"/>
    </w:rPr>
  </w:style>
  <w:style w:type="character" w:styleId="Collegamentoipertestuale">
    <w:name w:val="Hyperlink"/>
    <w:basedOn w:val="Carpredefinitoparagrafo"/>
    <w:rsid w:val="009E6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tica-in-pratica-nel-servizio-sociale-casi-e-commenti-in-prospettiva-internazionale-9788859006565-21594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eva-feder-kittay/la-cura-dellamore-9788834318621-14183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barnes-marian/storie-di-caregiver-9788861376670-1773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tha-c-nussbaum/persona-oggetto-9788859005551-2119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EC14-98C2-4434-947A-19B99FB6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558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2021-05-20T08:18:00Z</dcterms:created>
  <dcterms:modified xsi:type="dcterms:W3CDTF">2021-07-08T07:04:00Z</dcterms:modified>
</cp:coreProperties>
</file>