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61" w:rsidRDefault="006F5D61">
      <w:pPr>
        <w:pStyle w:val="Titolo1"/>
      </w:pPr>
      <w:r>
        <w:t>Elementi di psicopatologia</w:t>
      </w:r>
    </w:p>
    <w:p w:rsidR="006F5D61" w:rsidRDefault="006F5D61">
      <w:pPr>
        <w:pStyle w:val="Titolo2"/>
      </w:pPr>
      <w:r>
        <w:t>Prof. Marco Farina</w:t>
      </w:r>
    </w:p>
    <w:p w:rsidR="006F5D61" w:rsidRDefault="006F5D6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6E409D">
        <w:rPr>
          <w:b/>
          <w:i/>
          <w:sz w:val="18"/>
        </w:rPr>
        <w:t xml:space="preserve"> E RISULTATI DI APPRENDIMENTO ATTESI</w:t>
      </w:r>
    </w:p>
    <w:p w:rsidR="006F5D61" w:rsidRDefault="00013B0F">
      <w:r>
        <w:t xml:space="preserve">L’insegnamento si propone di fornire al futuro </w:t>
      </w:r>
      <w:r w:rsidR="006F5D61">
        <w:t>assistente sociale una panoramica delle principali categorie psicodiagnostiche</w:t>
      </w:r>
      <w:r>
        <w:t>.</w:t>
      </w:r>
      <w:r w:rsidR="006F5D61">
        <w:t xml:space="preserve"> </w:t>
      </w:r>
      <w:r w:rsidR="007C7D6A">
        <w:t>Obiettivo principale del corso è consentire a quest</w:t>
      </w:r>
      <w:r w:rsidR="00502D15">
        <w:t>a figura professionale</w:t>
      </w:r>
      <w:r w:rsidR="006F5D61">
        <w:t xml:space="preserve"> un dialogo competente </w:t>
      </w:r>
      <w:r w:rsidR="006D6A6C">
        <w:t>e dialettico con</w:t>
      </w:r>
      <w:r w:rsidR="006E409D">
        <w:t xml:space="preserve"> </w:t>
      </w:r>
      <w:r w:rsidR="006D6A6C">
        <w:t xml:space="preserve">psichiatri, </w:t>
      </w:r>
      <w:r w:rsidR="006F5D61">
        <w:t>psicologi</w:t>
      </w:r>
      <w:r w:rsidR="006D6A6C">
        <w:t xml:space="preserve"> e psicoterapeuti</w:t>
      </w:r>
      <w:r w:rsidR="006E409D">
        <w:t xml:space="preserve"> che </w:t>
      </w:r>
      <w:r w:rsidR="00813141">
        <w:t xml:space="preserve">sovente </w:t>
      </w:r>
      <w:r w:rsidR="006E409D">
        <w:t xml:space="preserve">in collaborazione con lui </w:t>
      </w:r>
      <w:r w:rsidR="006F5D61">
        <w:t xml:space="preserve">si occupano della cura </w:t>
      </w:r>
      <w:r w:rsidR="006E409D">
        <w:t>di soggetti socialmente</w:t>
      </w:r>
      <w:r w:rsidR="000A34FE">
        <w:t xml:space="preserve"> a rischio o in difficoltà</w:t>
      </w:r>
      <w:r w:rsidR="006F5D61">
        <w:t>.</w:t>
      </w:r>
      <w:r w:rsidR="00067A78">
        <w:t xml:space="preserve"> </w:t>
      </w:r>
    </w:p>
    <w:p w:rsidR="00067A78" w:rsidRDefault="00067A78">
      <w:r>
        <w:t>Al termine del corso lo studente sarà in grado di</w:t>
      </w:r>
      <w:r w:rsidR="00805055">
        <w:t>:</w:t>
      </w:r>
      <w:r>
        <w:t xml:space="preserve"> individuare la problematica psicologica principale che potrebbe affliggere un suo utente e orientarlo nella rete dei Servizi Soci</w:t>
      </w:r>
      <w:r w:rsidR="00805055">
        <w:t xml:space="preserve">osanitari; comprendere il significato di una diagnosi psicologica inserita all’interno di una relazione o di una perizia e adattare di conseguenza il suo intervento; </w:t>
      </w:r>
      <w:r w:rsidR="006B6F48">
        <w:t xml:space="preserve">orientarsi nella letteratura scientifica inerente la psicopatologia al fine di svolgere percorsi di aggiornamento. </w:t>
      </w:r>
      <w:r w:rsidR="00805055">
        <w:t xml:space="preserve"> </w:t>
      </w:r>
    </w:p>
    <w:p w:rsidR="00A66F33" w:rsidRDefault="006F5D61" w:rsidP="00A66F3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A66F33" w:rsidRPr="00A66F33" w:rsidRDefault="0074457D" w:rsidP="00FB5100">
      <w:pPr>
        <w:tabs>
          <w:tab w:val="num" w:pos="720"/>
        </w:tabs>
      </w:pPr>
      <w:r>
        <w:t>Saranno considerati due modelli psicodiagnostici: il primo fa rifermento all’orientamento psicodinamico e mira a evidenziare la distinzione tra strutture di personalità nevrotiche e psicotiche; il secondo</w:t>
      </w:r>
      <w:r w:rsidR="004D1AD6">
        <w:t xml:space="preserve"> si basa</w:t>
      </w:r>
      <w:r>
        <w:t xml:space="preserve"> alla diagnosi per segni e sintomi così come espressa nel </w:t>
      </w:r>
      <w:r w:rsidRPr="004D1AD6">
        <w:rPr>
          <w:i/>
        </w:rPr>
        <w:t>Diagnostic and Statistical Manual of mental disorder</w:t>
      </w:r>
      <w:r w:rsidR="004D1AD6" w:rsidRPr="004D1AD6">
        <w:rPr>
          <w:i/>
        </w:rPr>
        <w:t>s</w:t>
      </w:r>
      <w:r w:rsidRPr="004D1AD6">
        <w:rPr>
          <w:i/>
        </w:rPr>
        <w:t xml:space="preserve"> - 5</w:t>
      </w:r>
      <w:r>
        <w:t xml:space="preserve"> (DSM5)</w:t>
      </w:r>
      <w:r w:rsidR="004D1AD6">
        <w:t xml:space="preserve">. </w:t>
      </w:r>
      <w:r>
        <w:t xml:space="preserve"> </w:t>
      </w:r>
      <w:r w:rsidR="00EE2741">
        <w:t xml:space="preserve">In dettaglio saranno </w:t>
      </w:r>
      <w:r w:rsidR="00260C70">
        <w:t>esaminati: la</w:t>
      </w:r>
      <w:r w:rsidR="006F5D61">
        <w:t xml:space="preserve"> schizofrenia e i disturbi psicotici, i disturbi dell’umore, d’ansia, somatoformi, dissociativi, fittizi, sessuali e dell’identità di genere, dell’alimentazione, del sonno, correlati all’uso di </w:t>
      </w:r>
      <w:r w:rsidR="00A66F33">
        <w:t xml:space="preserve">sostanze, dell’adattamento e i disturbi di </w:t>
      </w:r>
      <w:r w:rsidR="004562A6">
        <w:t>personalità.</w:t>
      </w:r>
      <w:r w:rsidR="00EE2741">
        <w:t xml:space="preserve"> </w:t>
      </w:r>
      <w:r w:rsidR="004562A6">
        <w:t xml:space="preserve">Particolare attenzione verrà prestata alle modifiche introdotte nella nuova edizione, la quinta, </w:t>
      </w:r>
      <w:r w:rsidR="00400237">
        <w:t>adottata nel nostro Paese dal 2014. S</w:t>
      </w:r>
      <w:r w:rsidR="004562A6" w:rsidRPr="00F70641">
        <w:t>pecificamente</w:t>
      </w:r>
      <w:r w:rsidR="00400237">
        <w:t xml:space="preserve"> l’attenzione si centrerà sulle seguenti innovazioni</w:t>
      </w:r>
      <w:r w:rsidR="004562A6" w:rsidRPr="00F70641">
        <w:t xml:space="preserve">: </w:t>
      </w:r>
      <w:r w:rsidR="00A66F33" w:rsidRPr="00F70641">
        <w:t xml:space="preserve">una categoria diagnostica unica per i disturbi dello spettro </w:t>
      </w:r>
      <w:hyperlink r:id="rId9" w:tooltip="Autismo" w:history="1">
        <w:r w:rsidR="00A66F33" w:rsidRPr="00F70641">
          <w:rPr>
            <w:rStyle w:val="Collegamentoipertestuale"/>
            <w:color w:val="auto"/>
            <w:u w:val="none"/>
          </w:rPr>
          <w:t>autistico</w:t>
        </w:r>
      </w:hyperlink>
      <w:r w:rsidR="00A66F33" w:rsidRPr="00F70641">
        <w:t xml:space="preserve">, </w:t>
      </w:r>
      <w:r w:rsidR="004562A6" w:rsidRPr="00F70641">
        <w:t>e</w:t>
      </w:r>
      <w:r w:rsidR="00A66F33" w:rsidRPr="00F70641">
        <w:t xml:space="preserve">liminazione delle attuali diagnosi di abuso da sostanze e </w:t>
      </w:r>
      <w:hyperlink r:id="rId10" w:tooltip="Dipendenza" w:history="1">
        <w:r w:rsidR="00A66F33" w:rsidRPr="00F70641">
          <w:rPr>
            <w:rStyle w:val="Collegamentoipertestuale"/>
            <w:color w:val="auto"/>
            <w:u w:val="none"/>
          </w:rPr>
          <w:t>dipendenza</w:t>
        </w:r>
      </w:hyperlink>
      <w:r w:rsidR="00A66F33" w:rsidRPr="00F70641">
        <w:t xml:space="preserve"> a favore della nuova categoria “di</w:t>
      </w:r>
      <w:r w:rsidR="004562A6" w:rsidRPr="00F70641">
        <w:t>pendenze e disturbi correlati”, c</w:t>
      </w:r>
      <w:r w:rsidR="00A66F33" w:rsidRPr="00F70641">
        <w:t>reazione di una nuova categoria diagnostica per le “dipendenze comportamentali”</w:t>
      </w:r>
      <w:r w:rsidR="004562A6" w:rsidRPr="00F70641">
        <w:t xml:space="preserve">, introduzione di nuove scale per </w:t>
      </w:r>
      <w:r w:rsidR="00A66F33" w:rsidRPr="00F70641">
        <w:t xml:space="preserve"> valutare il rischio </w:t>
      </w:r>
      <w:hyperlink r:id="rId11" w:tooltip="Suicidio" w:history="1">
        <w:r w:rsidR="00A66F33" w:rsidRPr="00F70641">
          <w:rPr>
            <w:rStyle w:val="Collegamentoipertestuale"/>
            <w:color w:val="auto"/>
            <w:u w:val="none"/>
          </w:rPr>
          <w:t>suicidiario</w:t>
        </w:r>
      </w:hyperlink>
      <w:r w:rsidR="00A66F33" w:rsidRPr="00F70641">
        <w:t xml:space="preserve"> in adulti e adolescenti, “sindromi a rischio” (“</w:t>
      </w:r>
      <w:r w:rsidR="00A66F33" w:rsidRPr="00F70641">
        <w:rPr>
          <w:i/>
          <w:iCs/>
        </w:rPr>
        <w:t>risk syndromes</w:t>
      </w:r>
      <w:r w:rsidR="00F70641" w:rsidRPr="00F70641">
        <w:t xml:space="preserve">”) considerate precursori di </w:t>
      </w:r>
      <w:r w:rsidR="00A66F33" w:rsidRPr="00F70641">
        <w:t xml:space="preserve">disturbi mentali gravi, come </w:t>
      </w:r>
      <w:hyperlink r:id="rId12" w:tooltip="Demenza" w:history="1">
        <w:r w:rsidR="00A66F33" w:rsidRPr="00F70641">
          <w:rPr>
            <w:rStyle w:val="Collegamentoipertestuale"/>
            <w:color w:val="auto"/>
            <w:u w:val="none"/>
          </w:rPr>
          <w:t>demenza</w:t>
        </w:r>
      </w:hyperlink>
      <w:r w:rsidR="00A66F33" w:rsidRPr="00F70641">
        <w:t xml:space="preserve"> e psicosi</w:t>
      </w:r>
      <w:r w:rsidR="00F70641" w:rsidRPr="00F70641">
        <w:t>, inserimento</w:t>
      </w:r>
      <w:r w:rsidR="00A66F33" w:rsidRPr="00F70641">
        <w:t xml:space="preserve"> del </w:t>
      </w:r>
      <w:hyperlink r:id="rId13" w:tooltip="Disturbo da alimentazione incontrollata" w:history="1">
        <w:r w:rsidR="00A66F33" w:rsidRPr="00F70641">
          <w:rPr>
            <w:rStyle w:val="Collegamentoipertestuale"/>
            <w:color w:val="auto"/>
            <w:u w:val="none"/>
          </w:rPr>
          <w:t>disturbo da alimentazione incontrollata</w:t>
        </w:r>
      </w:hyperlink>
      <w:r w:rsidR="00A66F33" w:rsidRPr="00F70641">
        <w:t xml:space="preserve"> e criteri più adeguati per le diagnosi di </w:t>
      </w:r>
      <w:hyperlink r:id="rId14" w:tooltip="Anoressia nervosa" w:history="1">
        <w:r w:rsidR="00F70641">
          <w:rPr>
            <w:rStyle w:val="Collegamentoipertestuale"/>
            <w:color w:val="auto"/>
            <w:u w:val="none"/>
          </w:rPr>
          <w:t>a</w:t>
        </w:r>
        <w:r w:rsidR="00A66F33" w:rsidRPr="00F70641">
          <w:rPr>
            <w:rStyle w:val="Collegamentoipertestuale"/>
            <w:color w:val="auto"/>
            <w:u w:val="none"/>
          </w:rPr>
          <w:t>noressia</w:t>
        </w:r>
      </w:hyperlink>
      <w:r w:rsidR="00F70641">
        <w:t xml:space="preserve"> </w:t>
      </w:r>
      <w:r w:rsidR="00A66F33" w:rsidRPr="00F70641">
        <w:t xml:space="preserve"> e </w:t>
      </w:r>
      <w:hyperlink r:id="rId15" w:tooltip="Bulimia nervosa" w:history="1">
        <w:r w:rsidR="00F70641">
          <w:rPr>
            <w:rStyle w:val="Collegamentoipertestuale"/>
            <w:color w:val="auto"/>
            <w:u w:val="none"/>
          </w:rPr>
          <w:t>bulimia</w:t>
        </w:r>
      </w:hyperlink>
      <w:r w:rsidR="00F70641">
        <w:t xml:space="preserve"> nervose</w:t>
      </w:r>
    </w:p>
    <w:p w:rsidR="006F5D61" w:rsidRPr="00AD5A07" w:rsidRDefault="006F5D61" w:rsidP="00AD5A0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A043DE">
        <w:rPr>
          <w:rStyle w:val="Rimandonotaapidipagina"/>
          <w:b/>
          <w:i/>
          <w:sz w:val="18"/>
        </w:rPr>
        <w:footnoteReference w:id="1"/>
      </w:r>
    </w:p>
    <w:p w:rsidR="006F5D61" w:rsidRPr="00260C70" w:rsidRDefault="00C24E9A" w:rsidP="00FB5100">
      <w:pPr>
        <w:pStyle w:val="Testo1"/>
        <w:rPr>
          <w:szCs w:val="18"/>
        </w:rPr>
      </w:pPr>
      <w:r w:rsidRPr="00A043DE">
        <w:rPr>
          <w:rFonts w:ascii="Times New Roman" w:hAnsi="Times New Roman"/>
          <w:sz w:val="16"/>
          <w:szCs w:val="18"/>
        </w:rPr>
        <w:t>N. MCWILLIAMS</w:t>
      </w:r>
      <w:r w:rsidRPr="00A043DE">
        <w:rPr>
          <w:rFonts w:ascii="Times New Roman" w:hAnsi="Times New Roman"/>
          <w:szCs w:val="18"/>
        </w:rPr>
        <w:t xml:space="preserve">, (2012, II ed.). </w:t>
      </w:r>
      <w:r w:rsidRPr="00260C70">
        <w:rPr>
          <w:rFonts w:ascii="Times New Roman" w:hAnsi="Times New Roman"/>
          <w:i/>
          <w:iCs/>
          <w:szCs w:val="18"/>
        </w:rPr>
        <w:t>La diagnosi psicoanalitica</w:t>
      </w:r>
      <w:r w:rsidRPr="00260C70">
        <w:rPr>
          <w:rFonts w:ascii="Times New Roman" w:hAnsi="Times New Roman"/>
          <w:szCs w:val="18"/>
        </w:rPr>
        <w:t>. Roma: Astrolabio</w:t>
      </w:r>
      <w:r w:rsidR="00FB5100" w:rsidRPr="00260C70">
        <w:rPr>
          <w:szCs w:val="18"/>
        </w:rPr>
        <w:t>.</w:t>
      </w:r>
      <w:r w:rsidR="00A043DE">
        <w:rPr>
          <w:szCs w:val="18"/>
        </w:rPr>
        <w:t xml:space="preserve"> </w:t>
      </w:r>
      <w:hyperlink r:id="rId16" w:history="1">
        <w:r w:rsidR="00A043DE" w:rsidRPr="00A043D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002F9" w:rsidRDefault="009002F9" w:rsidP="009002F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9002F9" w:rsidRDefault="009002F9" w:rsidP="009002F9">
      <w:pPr>
        <w:pStyle w:val="Testo2"/>
      </w:pPr>
      <w:r>
        <w:t>Il corso di avvale di: lezioni in aula e analisi di casi clinici presentati dal docente.</w:t>
      </w:r>
    </w:p>
    <w:p w:rsidR="006F5D61" w:rsidRDefault="006F5D6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D3581D">
        <w:rPr>
          <w:b/>
          <w:i/>
          <w:sz w:val="18"/>
        </w:rPr>
        <w:t xml:space="preserve"> E CRITERI </w:t>
      </w:r>
      <w:r>
        <w:rPr>
          <w:b/>
          <w:i/>
          <w:sz w:val="18"/>
        </w:rPr>
        <w:t>DI VALUTAZIONE</w:t>
      </w:r>
    </w:p>
    <w:p w:rsidR="00B552D4" w:rsidRDefault="009002F9" w:rsidP="00B552D4">
      <w:pPr>
        <w:pStyle w:val="Testo2"/>
      </w:pPr>
      <w:r>
        <w:t>La valutazione si articola in due prove</w:t>
      </w:r>
      <w:r w:rsidR="0031021C">
        <w:t xml:space="preserve"> entrambe obbligatorie</w:t>
      </w:r>
      <w:r>
        <w:t xml:space="preserve">. La prima (scritta) prevede l’analisi di un caso clinco; lo studente dovrà dimostrare di saper individuare la problmeatica principale del soggetto in difficolta, </w:t>
      </w:r>
      <w:r w:rsidR="00FA06FF">
        <w:t>selezionare quali Servizi del Sistema S</w:t>
      </w:r>
      <w:r>
        <w:t xml:space="preserve">anitario attivare e delinieare il proprio intervento. La seconda prova (orale) accerta le conoscenze teoriche della psicopatologia </w:t>
      </w:r>
      <w:r w:rsidR="00B552D4">
        <w:t xml:space="preserve">e gli approcci terapeutici adottati sul piano psicologico e sociale </w:t>
      </w:r>
      <w:r>
        <w:t>in ri</w:t>
      </w:r>
      <w:r w:rsidR="002E284D">
        <w:t xml:space="preserve">ferimento ai quadri sintomatici. </w:t>
      </w:r>
    </w:p>
    <w:p w:rsidR="006F5D61" w:rsidRDefault="002E284D" w:rsidP="00B552D4">
      <w:pPr>
        <w:pStyle w:val="Testo2"/>
      </w:pPr>
      <w:r>
        <w:t>Il superamento della prova scritta è preliminare all’accesso alla prova orale; entrabe le prove concorrono nella misura del 50</w:t>
      </w:r>
      <w:r w:rsidR="00B552D4">
        <w:t xml:space="preserve">% alla valutazione complessiva. </w:t>
      </w:r>
      <w:r w:rsidR="00B552D4" w:rsidRPr="00B552D4">
        <w:t>Ai fini della valutazione concorreranno la pertinenza delle</w:t>
      </w:r>
      <w:r w:rsidR="00B552D4">
        <w:t xml:space="preserve"> </w:t>
      </w:r>
      <w:r w:rsidR="00B552D4" w:rsidRPr="00B552D4">
        <w:t>risposte,</w:t>
      </w:r>
      <w:r w:rsidR="00B552D4">
        <w:t xml:space="preserve"> la conoscenza e</w:t>
      </w:r>
      <w:r w:rsidR="00B552D4" w:rsidRPr="00B552D4">
        <w:t xml:space="preserve"> l’uso appropria</w:t>
      </w:r>
      <w:r w:rsidR="00B552D4">
        <w:t>to della terminologia specifica e</w:t>
      </w:r>
      <w:r w:rsidR="00B552D4" w:rsidRPr="00B552D4">
        <w:t xml:space="preserve"> la strutturazione argomentata e coerente</w:t>
      </w:r>
      <w:r w:rsidR="00B552D4">
        <w:t xml:space="preserve"> dell’analisi del problema e delle ipotesi di intervento prospettate.  </w:t>
      </w:r>
    </w:p>
    <w:p w:rsidR="006F5D61" w:rsidRDefault="006F5D6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D3581D">
        <w:rPr>
          <w:b/>
          <w:i/>
          <w:sz w:val="18"/>
        </w:rPr>
        <w:t xml:space="preserve"> E PREREQUISITI</w:t>
      </w:r>
    </w:p>
    <w:p w:rsidR="00D3581D" w:rsidRDefault="00D3581D" w:rsidP="00D3581D">
      <w:pPr>
        <w:pStyle w:val="Testo2"/>
        <w:rPr>
          <w:iCs/>
        </w:rPr>
      </w:pPr>
      <w:r w:rsidRPr="00D3581D">
        <w:rPr>
          <w:iCs/>
        </w:rPr>
        <w:t>Avendo carattere introduttivo, l’insegnamento non necessita di prerequisiti relativi ai contenuti. Si</w:t>
      </w:r>
      <w:r>
        <w:rPr>
          <w:iCs/>
        </w:rPr>
        <w:t xml:space="preserve"> </w:t>
      </w:r>
      <w:r w:rsidRPr="00D3581D">
        <w:rPr>
          <w:iCs/>
        </w:rPr>
        <w:t xml:space="preserve">presuppone interesse </w:t>
      </w:r>
      <w:r>
        <w:rPr>
          <w:iCs/>
        </w:rPr>
        <w:t xml:space="preserve">dello studente per il funzionamento mentale umano con particolare riferimento alle patologie del pensiero, del comportamento e della vita emotiva. </w:t>
      </w:r>
    </w:p>
    <w:p w:rsidR="00FC32AC" w:rsidRPr="00C22800" w:rsidRDefault="00FC32AC" w:rsidP="00FC32AC">
      <w:pPr>
        <w:pStyle w:val="Testo2"/>
        <w:rPr>
          <w:iCs/>
        </w:rPr>
      </w:pPr>
      <w:r w:rsidRPr="00C22800">
        <w:rPr>
          <w:iCs/>
        </w:rPr>
        <w:t>Nel caso in cui la situazione sanitaria relativa alla pandemia di Covid-19 non dovesse  consentire la didattica in presenza, sarà garantita l’erogazione a distanza dell’insegnamento con modalità che verranno comunicate in tempo utile agli studenti</w:t>
      </w:r>
    </w:p>
    <w:p w:rsidR="00260C70" w:rsidRDefault="00260C70" w:rsidP="00260C70">
      <w:pPr>
        <w:spacing w:before="120" w:line="220" w:lineRule="atLeast"/>
        <w:ind w:firstLine="284"/>
        <w:rPr>
          <w:rFonts w:cs="Times"/>
          <w:color w:val="000000"/>
          <w:sz w:val="18"/>
          <w:szCs w:val="18"/>
        </w:rPr>
      </w:pPr>
      <w:r>
        <w:rPr>
          <w:rFonts w:cs="Times"/>
          <w:i/>
          <w:iCs/>
          <w:color w:val="000000"/>
          <w:sz w:val="18"/>
          <w:szCs w:val="18"/>
        </w:rPr>
        <w:t>Orario e luogo di ricevimento degli studenti</w:t>
      </w:r>
    </w:p>
    <w:p w:rsidR="006F5D61" w:rsidRDefault="006F5D61">
      <w:pPr>
        <w:pStyle w:val="Testo2"/>
      </w:pPr>
      <w:r>
        <w:t>Il Prof. Marco Farina riceve gli studenti dopo le lezioni su appuntamento</w:t>
      </w:r>
      <w:r w:rsidR="009F4376">
        <w:t xml:space="preserve"> (e-mail: marco.farina</w:t>
      </w:r>
      <w:r w:rsidR="009F4376">
        <w:rPr>
          <w:rFonts w:cs="Times"/>
        </w:rPr>
        <w:t>@</w:t>
      </w:r>
      <w:r w:rsidR="009F4376">
        <w:t>unicatt.it)</w:t>
      </w:r>
      <w:r w:rsidR="005B7B39">
        <w:t>, nella sede di Via Nirone, 15</w:t>
      </w:r>
      <w:r>
        <w:t>.</w:t>
      </w:r>
    </w:p>
    <w:sectPr w:rsidR="006F5D61" w:rsidSect="00394811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3DE" w:rsidRDefault="00A043DE" w:rsidP="00A043DE">
      <w:pPr>
        <w:spacing w:line="240" w:lineRule="auto"/>
      </w:pPr>
      <w:r>
        <w:separator/>
      </w:r>
    </w:p>
  </w:endnote>
  <w:endnote w:type="continuationSeparator" w:id="0">
    <w:p w:rsidR="00A043DE" w:rsidRDefault="00A043DE" w:rsidP="00A043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3DE" w:rsidRDefault="00A043DE" w:rsidP="00A043DE">
      <w:pPr>
        <w:spacing w:line="240" w:lineRule="auto"/>
      </w:pPr>
      <w:r>
        <w:separator/>
      </w:r>
    </w:p>
  </w:footnote>
  <w:footnote w:type="continuationSeparator" w:id="0">
    <w:p w:rsidR="00A043DE" w:rsidRDefault="00A043DE" w:rsidP="00A043DE">
      <w:pPr>
        <w:spacing w:line="240" w:lineRule="auto"/>
      </w:pPr>
      <w:r>
        <w:continuationSeparator/>
      </w:r>
    </w:p>
  </w:footnote>
  <w:footnote w:id="1">
    <w:p w:rsidR="00A043DE" w:rsidRDefault="00A043D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E72DA"/>
    <w:multiLevelType w:val="multilevel"/>
    <w:tmpl w:val="B47C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07"/>
    <w:rsid w:val="00013B0F"/>
    <w:rsid w:val="00067A78"/>
    <w:rsid w:val="000A34FE"/>
    <w:rsid w:val="001B4248"/>
    <w:rsid w:val="00260C70"/>
    <w:rsid w:val="002E284D"/>
    <w:rsid w:val="0031021C"/>
    <w:rsid w:val="00337888"/>
    <w:rsid w:val="00394811"/>
    <w:rsid w:val="003E042F"/>
    <w:rsid w:val="00400237"/>
    <w:rsid w:val="00441E16"/>
    <w:rsid w:val="004562A6"/>
    <w:rsid w:val="004D1AD6"/>
    <w:rsid w:val="004F5E34"/>
    <w:rsid w:val="00502D15"/>
    <w:rsid w:val="00525550"/>
    <w:rsid w:val="005B7B39"/>
    <w:rsid w:val="005E437C"/>
    <w:rsid w:val="005E55B0"/>
    <w:rsid w:val="006450B9"/>
    <w:rsid w:val="00655021"/>
    <w:rsid w:val="006B6F48"/>
    <w:rsid w:val="006D6A6C"/>
    <w:rsid w:val="006E409D"/>
    <w:rsid w:val="006F5D61"/>
    <w:rsid w:val="006F6E3B"/>
    <w:rsid w:val="0074457D"/>
    <w:rsid w:val="007C7D6A"/>
    <w:rsid w:val="00805055"/>
    <w:rsid w:val="00813141"/>
    <w:rsid w:val="008B4311"/>
    <w:rsid w:val="009002F9"/>
    <w:rsid w:val="00922D97"/>
    <w:rsid w:val="009F4376"/>
    <w:rsid w:val="009F7DEF"/>
    <w:rsid w:val="00A043DE"/>
    <w:rsid w:val="00A522D1"/>
    <w:rsid w:val="00A57B4C"/>
    <w:rsid w:val="00A66F33"/>
    <w:rsid w:val="00A71C2C"/>
    <w:rsid w:val="00A800F4"/>
    <w:rsid w:val="00AD5A07"/>
    <w:rsid w:val="00AF557D"/>
    <w:rsid w:val="00B552D4"/>
    <w:rsid w:val="00BC28B2"/>
    <w:rsid w:val="00C11C84"/>
    <w:rsid w:val="00C22800"/>
    <w:rsid w:val="00C24E9A"/>
    <w:rsid w:val="00D3581D"/>
    <w:rsid w:val="00D36091"/>
    <w:rsid w:val="00DB568F"/>
    <w:rsid w:val="00DC282D"/>
    <w:rsid w:val="00E33B78"/>
    <w:rsid w:val="00EB6242"/>
    <w:rsid w:val="00EE2741"/>
    <w:rsid w:val="00F70641"/>
    <w:rsid w:val="00F7127A"/>
    <w:rsid w:val="00FA06FF"/>
    <w:rsid w:val="00FB0596"/>
    <w:rsid w:val="00FB5100"/>
    <w:rsid w:val="00FC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811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394811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394811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394811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394811"/>
    <w:pPr>
      <w:keepNext/>
      <w:spacing w:before="240" w:after="120" w:line="220" w:lineRule="exact"/>
      <w:outlineLvl w:val="3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394811"/>
    <w:pPr>
      <w:tabs>
        <w:tab w:val="clear" w:pos="284"/>
      </w:tabs>
      <w:spacing w:before="100" w:after="100" w:line="240" w:lineRule="auto"/>
      <w:jc w:val="left"/>
    </w:pPr>
    <w:rPr>
      <w:rFonts w:ascii="Times New Roman" w:hAnsi="Times New Roman"/>
      <w:sz w:val="24"/>
    </w:rPr>
  </w:style>
  <w:style w:type="paragraph" w:customStyle="1" w:styleId="Testo1">
    <w:name w:val="Testo 1"/>
    <w:rsid w:val="0039481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394811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iPriority w:val="99"/>
    <w:unhideWhenUsed/>
    <w:rsid w:val="00A66F33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43D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43DE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43DE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55B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811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394811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394811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394811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394811"/>
    <w:pPr>
      <w:keepNext/>
      <w:spacing w:before="240" w:after="120" w:line="220" w:lineRule="exact"/>
      <w:outlineLvl w:val="3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394811"/>
    <w:pPr>
      <w:tabs>
        <w:tab w:val="clear" w:pos="284"/>
      </w:tabs>
      <w:spacing w:before="100" w:after="100" w:line="240" w:lineRule="auto"/>
      <w:jc w:val="left"/>
    </w:pPr>
    <w:rPr>
      <w:rFonts w:ascii="Times New Roman" w:hAnsi="Times New Roman"/>
      <w:sz w:val="24"/>
    </w:rPr>
  </w:style>
  <w:style w:type="paragraph" w:customStyle="1" w:styleId="Testo1">
    <w:name w:val="Testo 1"/>
    <w:rsid w:val="0039481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394811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iPriority w:val="99"/>
    <w:unhideWhenUsed/>
    <w:rsid w:val="00A66F33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43D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43DE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43DE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55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9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t.wikipedia.org/wiki/Disturbo_da_alimentazione_incontrollat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t.wikipedia.org/wiki/Demenz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mcwilliams-nancy/la-diagnosi-psicoanalitca-9788834016350-18088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.wikipedia.org/wiki/Suicidi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t.wikipedia.org/wiki/Bulimia_nervosa" TargetMode="External"/><Relationship Id="rId10" Type="http://schemas.openxmlformats.org/officeDocument/2006/relationships/hyperlink" Target="http://it.wikipedia.org/wiki/Dipenden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t.wikipedia.org/wiki/Autismo" TargetMode="External"/><Relationship Id="rId14" Type="http://schemas.openxmlformats.org/officeDocument/2006/relationships/hyperlink" Target="http://it.wikipedia.org/wiki/Anoressia_nervos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C7FF3-2F36-4D80-8D07-66D3DC85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2</Pages>
  <Words>588</Words>
  <Characters>4410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4989</CharactersWithSpaces>
  <SharedDoc>false</SharedDoc>
  <HLinks>
    <vt:vector size="42" baseType="variant">
      <vt:variant>
        <vt:i4>196709</vt:i4>
      </vt:variant>
      <vt:variant>
        <vt:i4>18</vt:i4>
      </vt:variant>
      <vt:variant>
        <vt:i4>0</vt:i4>
      </vt:variant>
      <vt:variant>
        <vt:i4>5</vt:i4>
      </vt:variant>
      <vt:variant>
        <vt:lpwstr>http://it.wikipedia.org/wiki/Bulimia_nervosa</vt:lpwstr>
      </vt:variant>
      <vt:variant>
        <vt:lpwstr/>
      </vt:variant>
      <vt:variant>
        <vt:i4>7864342</vt:i4>
      </vt:variant>
      <vt:variant>
        <vt:i4>15</vt:i4>
      </vt:variant>
      <vt:variant>
        <vt:i4>0</vt:i4>
      </vt:variant>
      <vt:variant>
        <vt:i4>5</vt:i4>
      </vt:variant>
      <vt:variant>
        <vt:lpwstr>http://it.wikipedia.org/wiki/Anoressia_nervosa</vt:lpwstr>
      </vt:variant>
      <vt:variant>
        <vt:lpwstr/>
      </vt:variant>
      <vt:variant>
        <vt:i4>4063296</vt:i4>
      </vt:variant>
      <vt:variant>
        <vt:i4>12</vt:i4>
      </vt:variant>
      <vt:variant>
        <vt:i4>0</vt:i4>
      </vt:variant>
      <vt:variant>
        <vt:i4>5</vt:i4>
      </vt:variant>
      <vt:variant>
        <vt:lpwstr>http://it.wikipedia.org/wiki/Disturbo_da_alimentazione_incontrollata</vt:lpwstr>
      </vt:variant>
      <vt:variant>
        <vt:lpwstr/>
      </vt:variant>
      <vt:variant>
        <vt:i4>1376341</vt:i4>
      </vt:variant>
      <vt:variant>
        <vt:i4>9</vt:i4>
      </vt:variant>
      <vt:variant>
        <vt:i4>0</vt:i4>
      </vt:variant>
      <vt:variant>
        <vt:i4>5</vt:i4>
      </vt:variant>
      <vt:variant>
        <vt:lpwstr>http://it.wikipedia.org/wiki/Demenza</vt:lpwstr>
      </vt:variant>
      <vt:variant>
        <vt:lpwstr/>
      </vt:variant>
      <vt:variant>
        <vt:i4>589917</vt:i4>
      </vt:variant>
      <vt:variant>
        <vt:i4>6</vt:i4>
      </vt:variant>
      <vt:variant>
        <vt:i4>0</vt:i4>
      </vt:variant>
      <vt:variant>
        <vt:i4>5</vt:i4>
      </vt:variant>
      <vt:variant>
        <vt:lpwstr>http://it.wikipedia.org/wiki/Suicidio</vt:lpwstr>
      </vt:variant>
      <vt:variant>
        <vt:lpwstr/>
      </vt:variant>
      <vt:variant>
        <vt:i4>7733289</vt:i4>
      </vt:variant>
      <vt:variant>
        <vt:i4>3</vt:i4>
      </vt:variant>
      <vt:variant>
        <vt:i4>0</vt:i4>
      </vt:variant>
      <vt:variant>
        <vt:i4>5</vt:i4>
      </vt:variant>
      <vt:variant>
        <vt:lpwstr>http://it.wikipedia.org/wiki/Dipendenza</vt:lpwstr>
      </vt:variant>
      <vt:variant>
        <vt:lpwstr/>
      </vt:variant>
      <vt:variant>
        <vt:i4>1704030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http://it.wikipedia.org/wiki/Autismo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monica.grassi</dc:creator>
  <cp:keywords/>
  <cp:lastModifiedBy>Rolli Andrea</cp:lastModifiedBy>
  <cp:revision>4</cp:revision>
  <cp:lastPrinted>2005-07-11T11:37:00Z</cp:lastPrinted>
  <dcterms:created xsi:type="dcterms:W3CDTF">2020-05-27T09:53:00Z</dcterms:created>
  <dcterms:modified xsi:type="dcterms:W3CDTF">2021-07-08T11:43:00Z</dcterms:modified>
</cp:coreProperties>
</file>