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016B" w:rsidRPr="00FD10FC" w:rsidRDefault="0008016B" w:rsidP="0008016B">
      <w:pPr>
        <w:pStyle w:val="Titolo1"/>
      </w:pPr>
      <w:bookmarkStart w:id="0" w:name="_Toc361901030"/>
      <w:r w:rsidRPr="00FD10FC">
        <w:t>Economia dell’informazione e della comunicazione (con laboratorio)</w:t>
      </w:r>
      <w:bookmarkEnd w:id="0"/>
    </w:p>
    <w:p w:rsidR="0008016B" w:rsidRPr="004D1B19" w:rsidRDefault="0008016B" w:rsidP="004D1B19">
      <w:pPr>
        <w:pStyle w:val="Titolo2"/>
      </w:pPr>
      <w:bookmarkStart w:id="1" w:name="_Toc361901031"/>
      <w:r w:rsidRPr="004D1B19">
        <w:t>Prof. Guido Merzoni</w:t>
      </w:r>
      <w:bookmarkEnd w:id="1"/>
    </w:p>
    <w:p w:rsidR="002D5E17" w:rsidRDefault="0008016B" w:rsidP="0008016B">
      <w:pPr>
        <w:spacing w:before="240" w:after="120" w:line="240" w:lineRule="exact"/>
        <w:rPr>
          <w:b/>
          <w:sz w:val="18"/>
        </w:rPr>
      </w:pPr>
      <w:r>
        <w:rPr>
          <w:b/>
          <w:i/>
          <w:sz w:val="18"/>
        </w:rPr>
        <w:t>OBIETTIVO DEL CORSO E RISULTATI DI APPRENDIMENTO ATTESI</w:t>
      </w:r>
    </w:p>
    <w:p w:rsidR="0008016B" w:rsidRPr="00FD10FC" w:rsidRDefault="0008016B" w:rsidP="007840E0">
      <w:pPr>
        <w:spacing w:line="240" w:lineRule="exact"/>
      </w:pPr>
      <w:r w:rsidRPr="00FD10FC">
        <w:t>L’insegnamento si propone di presentare alcuni fenomeni caratterizzanti i sistemi economici contemporanei</w:t>
      </w:r>
      <w:r>
        <w:t>,</w:t>
      </w:r>
      <w:r w:rsidRPr="00FD10FC">
        <w:t xml:space="preserve"> con particolare riguardo alla distribuzione dell'informazione, alla sua comunicazione e alla diffusione pervasiva dei beni digitali</w:t>
      </w:r>
      <w:r>
        <w:t>,</w:t>
      </w:r>
      <w:r w:rsidRPr="00FD10FC">
        <w:t xml:space="preserve"> e di familiarizzare gli studenti con i relativi strumenti di indagine.</w:t>
      </w:r>
    </w:p>
    <w:p w:rsidR="0008016B" w:rsidRPr="00FD10FC" w:rsidRDefault="0008016B" w:rsidP="007840E0">
      <w:pPr>
        <w:spacing w:before="120" w:line="240" w:lineRule="exact"/>
        <w:rPr>
          <w:i/>
        </w:rPr>
      </w:pPr>
      <w:r w:rsidRPr="00FD10FC">
        <w:rPr>
          <w:i/>
        </w:rPr>
        <w:t>Conoscenza e comprensione</w:t>
      </w:r>
    </w:p>
    <w:p w:rsidR="0008016B" w:rsidRPr="00FD10FC" w:rsidRDefault="0008016B" w:rsidP="007840E0">
      <w:pPr>
        <w:spacing w:line="240" w:lineRule="exact"/>
      </w:pPr>
      <w:r w:rsidRPr="00FD10FC">
        <w:t xml:space="preserve">Al termine dell’insegnamento lo studente conoscerà le nozioni e gli strumenti di base dell’economia dell’informazione, con particolare riguardo alle conseguenze in termini di inefficienza della distribuzione asimmetrica dell’informazione, ai possibili rimedi e alle modalità di organizzazione del mercato tipiche dei principali meccanismi di asta. Conoscerà inoltre i principali fenomeni che caratterizzano i mercati dei beni digitali sul lato dell’offerta, con particolare riguardo alle strategie commerciali e pubblicitarie, e sul lato della domanda, con un’enfasi sulle conseguenze della presenza di esternalità di rete. </w:t>
      </w:r>
    </w:p>
    <w:p w:rsidR="0008016B" w:rsidRPr="00FD10FC" w:rsidRDefault="0008016B" w:rsidP="007840E0">
      <w:pPr>
        <w:spacing w:before="120" w:line="240" w:lineRule="exact"/>
        <w:rPr>
          <w:i/>
        </w:rPr>
      </w:pPr>
      <w:r w:rsidRPr="00FD10FC">
        <w:rPr>
          <w:i/>
        </w:rPr>
        <w:t>Capacità di applicare conoscenza e comprensione</w:t>
      </w:r>
    </w:p>
    <w:p w:rsidR="0008016B" w:rsidRPr="00FD10FC" w:rsidRDefault="0008016B" w:rsidP="007840E0">
      <w:pPr>
        <w:spacing w:line="240" w:lineRule="exact"/>
      </w:pPr>
      <w:r w:rsidRPr="00FD10FC">
        <w:t>Al termine dell’insegnamento lo studente sarà in grado di:</w:t>
      </w:r>
    </w:p>
    <w:p w:rsidR="0008016B" w:rsidRPr="006B02FF" w:rsidRDefault="0008016B" w:rsidP="007840E0">
      <w:pPr>
        <w:pStyle w:val="Paragrafoelenco"/>
        <w:numPr>
          <w:ilvl w:val="0"/>
          <w:numId w:val="2"/>
        </w:numPr>
        <w:spacing w:line="240" w:lineRule="exact"/>
        <w:ind w:left="284" w:hanging="284"/>
      </w:pPr>
      <w:r>
        <w:t>discutere le proprietà di efficienza dell’equilibrio generale perfettamente concorrenziale nella rappresentazione grafica del diagramma a scatola di Edgeworth;</w:t>
      </w:r>
    </w:p>
    <w:p w:rsidR="0008016B" w:rsidRPr="00FD10FC" w:rsidRDefault="0008016B" w:rsidP="007840E0">
      <w:pPr>
        <w:pStyle w:val="Paragrafoelenco"/>
        <w:numPr>
          <w:ilvl w:val="0"/>
          <w:numId w:val="2"/>
        </w:numPr>
        <w:spacing w:line="240" w:lineRule="exact"/>
        <w:ind w:left="284" w:hanging="284"/>
      </w:pPr>
      <w:r w:rsidRPr="00FD10FC">
        <w:t>caratterizzare analiticamente l’equilibrio in semplici mercati con asimmetria</w:t>
      </w:r>
      <w:r w:rsidR="007840E0">
        <w:t xml:space="preserve"> informativa ex-ante ed ex-post;</w:t>
      </w:r>
    </w:p>
    <w:p w:rsidR="0008016B" w:rsidRPr="00FD10FC" w:rsidRDefault="0008016B" w:rsidP="007840E0">
      <w:pPr>
        <w:pStyle w:val="Paragrafoelenco"/>
        <w:numPr>
          <w:ilvl w:val="0"/>
          <w:numId w:val="2"/>
        </w:numPr>
        <w:spacing w:line="240" w:lineRule="exact"/>
        <w:ind w:left="284" w:hanging="284"/>
      </w:pPr>
      <w:r w:rsidRPr="00FD10FC">
        <w:t>delineare analiticamente i possibili rimedi in grado di ristabilire l’efficienza in tali contesti;</w:t>
      </w:r>
    </w:p>
    <w:p w:rsidR="0008016B" w:rsidRPr="00FD10FC" w:rsidRDefault="0008016B" w:rsidP="007840E0">
      <w:pPr>
        <w:pStyle w:val="Paragrafoelenco"/>
        <w:numPr>
          <w:ilvl w:val="0"/>
          <w:numId w:val="2"/>
        </w:numPr>
        <w:spacing w:line="240" w:lineRule="exact"/>
        <w:ind w:left="284" w:hanging="284"/>
      </w:pPr>
      <w:r w:rsidRPr="00FD10FC">
        <w:t xml:space="preserve">disegnare semplici strategie di discriminazione di prezzo, </w:t>
      </w:r>
      <w:r w:rsidRPr="007840E0">
        <w:rPr>
          <w:i/>
        </w:rPr>
        <w:t>bundling</w:t>
      </w:r>
      <w:r w:rsidRPr="00FD10FC">
        <w:t xml:space="preserve"> e </w:t>
      </w:r>
      <w:r w:rsidRPr="007840E0">
        <w:rPr>
          <w:i/>
        </w:rPr>
        <w:t>versioning</w:t>
      </w:r>
      <w:r w:rsidRPr="00FD10FC">
        <w:t>;</w:t>
      </w:r>
    </w:p>
    <w:p w:rsidR="0008016B" w:rsidRPr="00FD10FC" w:rsidRDefault="0008016B" w:rsidP="007840E0">
      <w:pPr>
        <w:pStyle w:val="Paragrafoelenco"/>
        <w:numPr>
          <w:ilvl w:val="0"/>
          <w:numId w:val="2"/>
        </w:numPr>
        <w:spacing w:line="240" w:lineRule="exact"/>
        <w:ind w:left="284" w:hanging="284"/>
      </w:pPr>
      <w:r w:rsidRPr="00FD10FC">
        <w:t>discutere con un adeguato supporto grafico o analitico l’impatto sul benessere sociale delle principali tipologie di pubblicità;</w:t>
      </w:r>
    </w:p>
    <w:p w:rsidR="0008016B" w:rsidRPr="0008016B" w:rsidRDefault="0008016B" w:rsidP="007840E0">
      <w:pPr>
        <w:pStyle w:val="Paragrafoelenco"/>
        <w:numPr>
          <w:ilvl w:val="0"/>
          <w:numId w:val="2"/>
        </w:numPr>
        <w:spacing w:line="240" w:lineRule="exact"/>
        <w:ind w:left="284" w:hanging="284"/>
      </w:pPr>
      <w:r w:rsidRPr="00FD10FC">
        <w:t xml:space="preserve">caratterizzare graficamente gli assetti di mercati caratterizzati dalla presenza di esternalità di rete e discutere teoricamente delle implicazioni dei connessi fenomeni di </w:t>
      </w:r>
      <w:r w:rsidRPr="007840E0">
        <w:rPr>
          <w:i/>
        </w:rPr>
        <w:t>lock-in</w:t>
      </w:r>
      <w:r w:rsidRPr="00FD10FC">
        <w:t xml:space="preserve"> e effetto superstar.</w:t>
      </w:r>
    </w:p>
    <w:p w:rsidR="0008016B" w:rsidRPr="0008016B" w:rsidRDefault="0008016B" w:rsidP="0008016B">
      <w:pPr>
        <w:spacing w:before="240" w:after="120" w:line="240" w:lineRule="exact"/>
        <w:rPr>
          <w:b/>
          <w:sz w:val="18"/>
        </w:rPr>
      </w:pPr>
      <w:r>
        <w:rPr>
          <w:b/>
          <w:i/>
          <w:sz w:val="18"/>
        </w:rPr>
        <w:t>PROGRAMMA DEL CORSO</w:t>
      </w:r>
    </w:p>
    <w:p w:rsidR="0008016B" w:rsidRPr="004D1B19" w:rsidRDefault="004D1B19" w:rsidP="0008016B">
      <w:pPr>
        <w:rPr>
          <w:smallCaps/>
          <w:sz w:val="18"/>
          <w:szCs w:val="18"/>
        </w:rPr>
      </w:pPr>
      <w:r w:rsidRPr="004D1B19">
        <w:rPr>
          <w:smallCaps/>
          <w:sz w:val="18"/>
          <w:szCs w:val="18"/>
        </w:rPr>
        <w:t>Introduzione</w:t>
      </w:r>
    </w:p>
    <w:p w:rsidR="0008016B" w:rsidRPr="00FD10FC" w:rsidRDefault="0008016B" w:rsidP="0008016B">
      <w:pPr>
        <w:rPr>
          <w:i/>
        </w:rPr>
      </w:pPr>
      <w:r w:rsidRPr="00FD10FC">
        <w:rPr>
          <w:i/>
        </w:rPr>
        <w:t>Scenari globali: economia, politica e società nel cambiamento d’epoca</w:t>
      </w:r>
    </w:p>
    <w:p w:rsidR="0008016B" w:rsidRPr="00FD10FC" w:rsidRDefault="0008016B" w:rsidP="0008016B">
      <w:r w:rsidRPr="00FD10FC">
        <w:lastRenderedPageBreak/>
        <w:t>–</w:t>
      </w:r>
      <w:r w:rsidRPr="00FD10FC">
        <w:tab/>
        <w:t>Proprietà di efficienza dei mercati: condizioni e limiti.</w:t>
      </w:r>
    </w:p>
    <w:p w:rsidR="0008016B" w:rsidRPr="004D1B19" w:rsidRDefault="004D1B19" w:rsidP="0008016B">
      <w:pPr>
        <w:spacing w:before="120"/>
        <w:rPr>
          <w:smallCaps/>
          <w:sz w:val="18"/>
          <w:szCs w:val="18"/>
        </w:rPr>
      </w:pPr>
      <w:r w:rsidRPr="004D1B19">
        <w:rPr>
          <w:smallCaps/>
          <w:sz w:val="18"/>
          <w:szCs w:val="18"/>
        </w:rPr>
        <w:t>Prima parte</w:t>
      </w:r>
    </w:p>
    <w:p w:rsidR="0008016B" w:rsidRPr="00FD10FC" w:rsidRDefault="0008016B" w:rsidP="0008016B">
      <w:r w:rsidRPr="00FD10FC">
        <w:rPr>
          <w:i/>
        </w:rPr>
        <w:t>Informazione asimmetrica</w:t>
      </w:r>
    </w:p>
    <w:p w:rsidR="0008016B" w:rsidRPr="00FD10FC" w:rsidRDefault="0008016B" w:rsidP="0008016B">
      <w:r w:rsidRPr="00FD10FC">
        <w:t>–</w:t>
      </w:r>
      <w:r w:rsidRPr="00FD10FC">
        <w:tab/>
        <w:t>Selezione avversa e meccanismi di segnalazione.</w:t>
      </w:r>
    </w:p>
    <w:p w:rsidR="0008016B" w:rsidRPr="00FD10FC" w:rsidRDefault="0008016B" w:rsidP="0008016B">
      <w:r w:rsidRPr="00FD10FC">
        <w:t>–</w:t>
      </w:r>
      <w:r w:rsidRPr="00FD10FC">
        <w:tab/>
        <w:t>Azzardo morale e contratti, reputazione e giochi di fiducia.</w:t>
      </w:r>
    </w:p>
    <w:p w:rsidR="0008016B" w:rsidRPr="00FD10FC" w:rsidRDefault="0008016B" w:rsidP="0008016B">
      <w:r w:rsidRPr="00FD10FC">
        <w:t>–</w:t>
      </w:r>
      <w:r w:rsidRPr="00FD10FC">
        <w:tab/>
        <w:t>Meccanismi d’asta.</w:t>
      </w:r>
    </w:p>
    <w:p w:rsidR="0008016B" w:rsidRPr="004D1B19" w:rsidRDefault="004D1B19" w:rsidP="0008016B">
      <w:pPr>
        <w:spacing w:before="120"/>
        <w:rPr>
          <w:smallCaps/>
          <w:sz w:val="18"/>
          <w:szCs w:val="18"/>
        </w:rPr>
      </w:pPr>
      <w:r w:rsidRPr="004D1B19">
        <w:rPr>
          <w:smallCaps/>
          <w:sz w:val="18"/>
          <w:szCs w:val="18"/>
        </w:rPr>
        <w:t>Seconda parte</w:t>
      </w:r>
    </w:p>
    <w:p w:rsidR="0008016B" w:rsidRPr="00FD10FC" w:rsidRDefault="0008016B" w:rsidP="0008016B">
      <w:r w:rsidRPr="00FD10FC">
        <w:rPr>
          <w:i/>
        </w:rPr>
        <w:t xml:space="preserve">Strategie commerciali e potere di mercato nell’economia digitale </w:t>
      </w:r>
    </w:p>
    <w:p w:rsidR="0008016B" w:rsidRPr="00FD10FC" w:rsidRDefault="0008016B" w:rsidP="0008016B">
      <w:r w:rsidRPr="00FD10FC">
        <w:t>–</w:t>
      </w:r>
      <w:r w:rsidRPr="00FD10FC">
        <w:tab/>
        <w:t>Caratteristiche dell'offerta e strategie commerciali:</w:t>
      </w:r>
    </w:p>
    <w:p w:rsidR="0008016B" w:rsidRPr="00FD10FC" w:rsidRDefault="0008016B" w:rsidP="007840E0">
      <w:pPr>
        <w:ind w:left="284"/>
      </w:pPr>
      <w:r w:rsidRPr="00FD10FC">
        <w:rPr>
          <w:i/>
        </w:rPr>
        <w:t>*</w:t>
      </w:r>
      <w:r w:rsidRPr="00FD10FC">
        <w:tab/>
        <w:t xml:space="preserve">discriminazione di prezzo, </w:t>
      </w:r>
      <w:r w:rsidRPr="00FD10FC">
        <w:rPr>
          <w:i/>
        </w:rPr>
        <w:t>bundling</w:t>
      </w:r>
      <w:r w:rsidRPr="00FD10FC">
        <w:t xml:space="preserve"> e </w:t>
      </w:r>
      <w:r w:rsidRPr="00FD10FC">
        <w:rPr>
          <w:i/>
        </w:rPr>
        <w:t>versioning;</w:t>
      </w:r>
    </w:p>
    <w:p w:rsidR="0008016B" w:rsidRPr="00FD10FC" w:rsidRDefault="0008016B" w:rsidP="007840E0">
      <w:pPr>
        <w:ind w:left="284"/>
      </w:pPr>
      <w:r w:rsidRPr="00FD10FC">
        <w:rPr>
          <w:i/>
        </w:rPr>
        <w:t>*</w:t>
      </w:r>
      <w:r w:rsidRPr="00FD10FC">
        <w:tab/>
        <w:t>pubblicità e diversificazione del prodotto.</w:t>
      </w:r>
    </w:p>
    <w:p w:rsidR="0008016B" w:rsidRPr="00FD10FC" w:rsidRDefault="0008016B" w:rsidP="0008016B">
      <w:r w:rsidRPr="00FD10FC">
        <w:t>–</w:t>
      </w:r>
      <w:r w:rsidRPr="00FD10FC">
        <w:tab/>
        <w:t>Distribuzione e domanda</w:t>
      </w:r>
    </w:p>
    <w:p w:rsidR="0008016B" w:rsidRPr="00FD10FC" w:rsidRDefault="0008016B" w:rsidP="007840E0">
      <w:pPr>
        <w:ind w:left="284"/>
        <w:rPr>
          <w:i/>
        </w:rPr>
      </w:pPr>
      <w:r w:rsidRPr="00FD10FC">
        <w:rPr>
          <w:i/>
        </w:rPr>
        <w:t>*</w:t>
      </w:r>
      <w:r w:rsidRPr="00FD10FC">
        <w:rPr>
          <w:i/>
        </w:rPr>
        <w:tab/>
      </w:r>
      <w:r w:rsidRPr="00FD10FC">
        <w:t>reti ed esternalità di rete</w:t>
      </w:r>
      <w:r w:rsidRPr="00FD10FC">
        <w:rPr>
          <w:i/>
        </w:rPr>
        <w:t>;</w:t>
      </w:r>
    </w:p>
    <w:p w:rsidR="0008016B" w:rsidRPr="00FD10FC" w:rsidRDefault="0008016B" w:rsidP="007840E0">
      <w:pPr>
        <w:ind w:left="284"/>
        <w:rPr>
          <w:i/>
          <w:lang w:val="en-US"/>
        </w:rPr>
      </w:pPr>
      <w:r w:rsidRPr="00FD10FC">
        <w:rPr>
          <w:i/>
          <w:lang w:val="en-US"/>
        </w:rPr>
        <w:t>*</w:t>
      </w:r>
      <w:r w:rsidRPr="00FD10FC">
        <w:rPr>
          <w:i/>
          <w:lang w:val="en-US"/>
        </w:rPr>
        <w:tab/>
        <w:t xml:space="preserve">lock-in, switching costs, </w:t>
      </w:r>
      <w:r w:rsidRPr="00FD10FC">
        <w:rPr>
          <w:lang w:val="en-US"/>
        </w:rPr>
        <w:t>effetto</w:t>
      </w:r>
      <w:r w:rsidRPr="00FD10FC">
        <w:rPr>
          <w:i/>
          <w:lang w:val="en-US"/>
        </w:rPr>
        <w:t xml:space="preserve"> superstar.</w:t>
      </w:r>
    </w:p>
    <w:p w:rsidR="0008016B" w:rsidRPr="0008016B" w:rsidRDefault="0008016B" w:rsidP="0008016B">
      <w:pPr>
        <w:keepNext/>
        <w:spacing w:before="240" w:after="120" w:line="240" w:lineRule="exact"/>
        <w:rPr>
          <w:b/>
          <w:sz w:val="18"/>
        </w:rPr>
      </w:pPr>
      <w:r>
        <w:rPr>
          <w:b/>
          <w:i/>
          <w:sz w:val="18"/>
        </w:rPr>
        <w:t>BIBLIOGRAFIA</w:t>
      </w:r>
      <w:r w:rsidR="004222DD">
        <w:rPr>
          <w:rStyle w:val="Rimandonotaapidipagina"/>
          <w:b/>
          <w:i/>
          <w:sz w:val="18"/>
        </w:rPr>
        <w:footnoteReference w:id="1"/>
      </w:r>
    </w:p>
    <w:p w:rsidR="0008016B" w:rsidRPr="00FD10FC" w:rsidRDefault="0008016B" w:rsidP="004D1B19">
      <w:pPr>
        <w:pStyle w:val="Testo1"/>
      </w:pPr>
      <w:r w:rsidRPr="00FD10FC">
        <w:t xml:space="preserve">Per chi </w:t>
      </w:r>
      <w:r w:rsidRPr="00FD10FC">
        <w:rPr>
          <w:i/>
        </w:rPr>
        <w:t>frequenta</w:t>
      </w:r>
      <w:r w:rsidRPr="00FD10FC">
        <w:t xml:space="preserve"> regolarmente le lezioni:</w:t>
      </w:r>
    </w:p>
    <w:p w:rsidR="0008016B" w:rsidRPr="00FD10FC" w:rsidRDefault="0008016B" w:rsidP="004D1B19">
      <w:pPr>
        <w:pStyle w:val="Testo1"/>
        <w:spacing w:before="0"/>
      </w:pPr>
      <w:r w:rsidRPr="00FD10FC">
        <w:t>1.</w:t>
      </w:r>
      <w:r w:rsidRPr="00FD10FC">
        <w:tab/>
        <w:t>Appunti delle lezioni.</w:t>
      </w:r>
    </w:p>
    <w:p w:rsidR="0008016B" w:rsidRPr="00FD10FC" w:rsidRDefault="0008016B" w:rsidP="004D1B19">
      <w:pPr>
        <w:pStyle w:val="Testo1"/>
        <w:spacing w:before="0"/>
      </w:pPr>
      <w:r w:rsidRPr="00FD10FC">
        <w:t>2.</w:t>
      </w:r>
      <w:r w:rsidRPr="00FD10FC">
        <w:tab/>
        <w:t>Letture di riferimento generale:</w:t>
      </w:r>
    </w:p>
    <w:p w:rsidR="0008016B" w:rsidRPr="004D1B19" w:rsidRDefault="0008016B" w:rsidP="004D1B19">
      <w:pPr>
        <w:pStyle w:val="Testo1"/>
        <w:spacing w:before="0" w:line="240" w:lineRule="atLeast"/>
        <w:rPr>
          <w:spacing w:val="-5"/>
        </w:rPr>
      </w:pPr>
      <w:r w:rsidRPr="004D1B19">
        <w:rPr>
          <w:smallCaps/>
          <w:spacing w:val="-5"/>
          <w:sz w:val="16"/>
        </w:rPr>
        <w:t>H. Varian,</w:t>
      </w:r>
      <w:r w:rsidRPr="004D1B19">
        <w:rPr>
          <w:i/>
          <w:spacing w:val="-5"/>
        </w:rPr>
        <w:t xml:space="preserve"> Microeconomia,</w:t>
      </w:r>
      <w:r w:rsidRPr="004D1B19">
        <w:rPr>
          <w:spacing w:val="-5"/>
        </w:rPr>
        <w:t xml:space="preserve"> Cafoscarina, Venezia, settima edizione italiana, 2011 (capitoli 17, 24, 25, 28, 31, 35, 36, 37).</w:t>
      </w:r>
      <w:r w:rsidR="004222DD">
        <w:rPr>
          <w:spacing w:val="-5"/>
        </w:rPr>
        <w:t xml:space="preserve"> </w:t>
      </w:r>
      <w:hyperlink r:id="rId9" w:history="1">
        <w:r w:rsidR="004222DD" w:rsidRPr="004222DD">
          <w:rPr>
            <w:rStyle w:val="Collegamentoipertestuale"/>
            <w:rFonts w:ascii="Times New Roman" w:hAnsi="Times New Roman"/>
            <w:i/>
            <w:sz w:val="16"/>
            <w:szCs w:val="16"/>
          </w:rPr>
          <w:t>Acquista da VP</w:t>
        </w:r>
      </w:hyperlink>
    </w:p>
    <w:p w:rsidR="0008016B" w:rsidRPr="004D1B19" w:rsidRDefault="0008016B" w:rsidP="004D1B19">
      <w:pPr>
        <w:pStyle w:val="Testo1"/>
        <w:spacing w:before="0" w:line="240" w:lineRule="atLeast"/>
        <w:rPr>
          <w:spacing w:val="-5"/>
        </w:rPr>
      </w:pPr>
      <w:r w:rsidRPr="004D1B19">
        <w:rPr>
          <w:smallCaps/>
          <w:spacing w:val="-5"/>
          <w:sz w:val="16"/>
        </w:rPr>
        <w:t>M.A. Maggioni-G. Merzoni,</w:t>
      </w:r>
      <w:r w:rsidRPr="004D1B19">
        <w:rPr>
          <w:i/>
          <w:spacing w:val="-5"/>
        </w:rPr>
        <w:t xml:space="preserve"> L’economia politica e la nuova economia. Fondamenti analitici e paradigmi interpretativi,</w:t>
      </w:r>
      <w:r w:rsidRPr="004D1B19">
        <w:rPr>
          <w:spacing w:val="-5"/>
        </w:rPr>
        <w:t xml:space="preserve"> in </w:t>
      </w:r>
      <w:r w:rsidRPr="004D1B19">
        <w:rPr>
          <w:smallCaps/>
          <w:spacing w:val="-5"/>
          <w:sz w:val="16"/>
        </w:rPr>
        <w:t xml:space="preserve">L. Prosperetti </w:t>
      </w:r>
      <w:r w:rsidRPr="007840E0">
        <w:rPr>
          <w:spacing w:val="-5"/>
        </w:rPr>
        <w:t xml:space="preserve">(a cura di), </w:t>
      </w:r>
      <w:r w:rsidRPr="004D1B19">
        <w:rPr>
          <w:i/>
          <w:spacing w:val="-5"/>
        </w:rPr>
        <w:t>La New Economy aspetti analitici ed implicazioni di policy,</w:t>
      </w:r>
      <w:r w:rsidRPr="004D1B19">
        <w:rPr>
          <w:spacing w:val="-5"/>
        </w:rPr>
        <w:t xml:space="preserve"> Il Mulino, Bologna, 2002.</w:t>
      </w:r>
    </w:p>
    <w:p w:rsidR="0008016B" w:rsidRPr="00FD10FC" w:rsidRDefault="0008016B" w:rsidP="004D1B19">
      <w:pPr>
        <w:pStyle w:val="Testo1"/>
      </w:pPr>
      <w:r w:rsidRPr="00FD10FC">
        <w:t xml:space="preserve">Ulteriori indicazioni bibliografiche e precisazioni su quelle riportate potranno essere fornite durante il corso e saranno in tal caso pubblicate anche sulla piattaforma </w:t>
      </w:r>
      <w:r w:rsidRPr="00FD10FC">
        <w:rPr>
          <w:i/>
        </w:rPr>
        <w:t>Blackboard</w:t>
      </w:r>
      <w:r w:rsidRPr="00FD10FC">
        <w:t>.</w:t>
      </w:r>
    </w:p>
    <w:p w:rsidR="0008016B" w:rsidRPr="00FD10FC" w:rsidRDefault="0008016B" w:rsidP="004D1B19">
      <w:pPr>
        <w:pStyle w:val="Testo1"/>
      </w:pPr>
      <w:r w:rsidRPr="00FD10FC">
        <w:t xml:space="preserve">Per chi </w:t>
      </w:r>
      <w:r w:rsidRPr="00FD10FC">
        <w:rPr>
          <w:i/>
        </w:rPr>
        <w:t>non frequenta</w:t>
      </w:r>
      <w:r w:rsidRPr="00FD10FC">
        <w:t xml:space="preserve"> le lezioni:</w:t>
      </w:r>
    </w:p>
    <w:p w:rsidR="0008016B" w:rsidRPr="004D1B19" w:rsidRDefault="0008016B" w:rsidP="004D1B19">
      <w:pPr>
        <w:pStyle w:val="Testo1"/>
        <w:spacing w:before="0" w:line="240" w:lineRule="atLeast"/>
        <w:rPr>
          <w:spacing w:val="-5"/>
        </w:rPr>
      </w:pPr>
      <w:r w:rsidRPr="004D1B19">
        <w:rPr>
          <w:smallCaps/>
          <w:spacing w:val="-5"/>
          <w:sz w:val="16"/>
        </w:rPr>
        <w:t>H. Varian,</w:t>
      </w:r>
      <w:r w:rsidRPr="004D1B19">
        <w:rPr>
          <w:i/>
          <w:spacing w:val="-5"/>
        </w:rPr>
        <w:t xml:space="preserve"> Microeconomia,</w:t>
      </w:r>
      <w:r w:rsidRPr="004D1B19">
        <w:rPr>
          <w:spacing w:val="-5"/>
        </w:rPr>
        <w:t xml:space="preserve"> Cafoscarina, Venezia, settima edizione italiana, 2011 (capitoli 17, 24, 25, 28, 31, 35, 36, 37).</w:t>
      </w:r>
      <w:r w:rsidR="004222DD">
        <w:rPr>
          <w:spacing w:val="-5"/>
        </w:rPr>
        <w:t xml:space="preserve"> </w:t>
      </w:r>
      <w:hyperlink r:id="rId10" w:history="1">
        <w:r w:rsidR="004222DD" w:rsidRPr="004222DD">
          <w:rPr>
            <w:rStyle w:val="Collegamentoipertestuale"/>
            <w:rFonts w:ascii="Times New Roman" w:hAnsi="Times New Roman"/>
            <w:i/>
            <w:sz w:val="16"/>
            <w:szCs w:val="16"/>
          </w:rPr>
          <w:t>Acquista da VP</w:t>
        </w:r>
      </w:hyperlink>
    </w:p>
    <w:p w:rsidR="0008016B" w:rsidRPr="004D1B19" w:rsidRDefault="0008016B" w:rsidP="004D1B19">
      <w:pPr>
        <w:pStyle w:val="Testo1"/>
        <w:spacing w:before="0" w:line="240" w:lineRule="atLeast"/>
        <w:rPr>
          <w:spacing w:val="-5"/>
        </w:rPr>
      </w:pPr>
      <w:r w:rsidRPr="004D1B19">
        <w:rPr>
          <w:smallCaps/>
          <w:spacing w:val="-5"/>
          <w:sz w:val="16"/>
        </w:rPr>
        <w:t>M.A. Maggioni-G. Merzoni,</w:t>
      </w:r>
      <w:r w:rsidRPr="004D1B19">
        <w:rPr>
          <w:i/>
          <w:spacing w:val="-5"/>
        </w:rPr>
        <w:t xml:space="preserve"> L’economia politica e la nuova economia. Fondamenti analitici e paradigmi interpretativi,</w:t>
      </w:r>
      <w:r w:rsidRPr="004D1B19">
        <w:rPr>
          <w:spacing w:val="-5"/>
        </w:rPr>
        <w:t xml:space="preserve"> in </w:t>
      </w:r>
      <w:r w:rsidRPr="004D1B19">
        <w:rPr>
          <w:smallCaps/>
          <w:spacing w:val="-5"/>
          <w:sz w:val="16"/>
        </w:rPr>
        <w:t xml:space="preserve">L. Prosperetti </w:t>
      </w:r>
      <w:r w:rsidRPr="007840E0">
        <w:rPr>
          <w:spacing w:val="-5"/>
        </w:rPr>
        <w:t>(a cura di),</w:t>
      </w:r>
      <w:r w:rsidRPr="004D1B19">
        <w:rPr>
          <w:i/>
          <w:spacing w:val="-5"/>
        </w:rPr>
        <w:t xml:space="preserve"> La New Economy aspetti analitici ed implicazioni di policy,</w:t>
      </w:r>
      <w:r w:rsidRPr="004D1B19">
        <w:rPr>
          <w:spacing w:val="-5"/>
        </w:rPr>
        <w:t xml:space="preserve"> Il Mulino, Bologna, 2002.</w:t>
      </w:r>
    </w:p>
    <w:p w:rsidR="0008016B" w:rsidRPr="004D1B19" w:rsidRDefault="0008016B" w:rsidP="004D1B19">
      <w:pPr>
        <w:pStyle w:val="Testo1"/>
        <w:spacing w:before="0" w:line="240" w:lineRule="atLeast"/>
        <w:rPr>
          <w:spacing w:val="-5"/>
        </w:rPr>
      </w:pPr>
      <w:r w:rsidRPr="004D1B19">
        <w:rPr>
          <w:smallCaps/>
          <w:spacing w:val="-5"/>
          <w:sz w:val="16"/>
        </w:rPr>
        <w:t>L. Cabral,</w:t>
      </w:r>
      <w:r w:rsidRPr="004D1B19">
        <w:rPr>
          <w:i/>
          <w:spacing w:val="-5"/>
        </w:rPr>
        <w:t xml:space="preserve"> Economia industriale,</w:t>
      </w:r>
      <w:r w:rsidRPr="004D1B19">
        <w:rPr>
          <w:spacing w:val="-5"/>
        </w:rPr>
        <w:t xml:space="preserve"> Carocci, Roma, 2018 (capitolo 14).</w:t>
      </w:r>
      <w:r w:rsidR="004222DD">
        <w:rPr>
          <w:spacing w:val="-5"/>
        </w:rPr>
        <w:t xml:space="preserve"> </w:t>
      </w:r>
      <w:hyperlink r:id="rId11" w:history="1">
        <w:r w:rsidR="004222DD" w:rsidRPr="004222DD">
          <w:rPr>
            <w:rStyle w:val="Collegamentoipertestuale"/>
            <w:rFonts w:ascii="Times New Roman" w:hAnsi="Times New Roman"/>
            <w:i/>
            <w:sz w:val="16"/>
            <w:szCs w:val="16"/>
          </w:rPr>
          <w:t>Acquista da VP</w:t>
        </w:r>
      </w:hyperlink>
      <w:bookmarkStart w:id="2" w:name="_GoBack"/>
      <w:bookmarkEnd w:id="2"/>
    </w:p>
    <w:p w:rsidR="0008016B" w:rsidRPr="004D1B19" w:rsidRDefault="0008016B" w:rsidP="004D1B19">
      <w:pPr>
        <w:pStyle w:val="Testo1"/>
        <w:spacing w:before="0" w:line="240" w:lineRule="atLeast"/>
        <w:rPr>
          <w:spacing w:val="-5"/>
          <w:lang w:val="en-US"/>
        </w:rPr>
      </w:pPr>
      <w:r w:rsidRPr="004D1B19">
        <w:rPr>
          <w:smallCaps/>
          <w:spacing w:val="-5"/>
          <w:sz w:val="16"/>
          <w:lang w:val="en-US"/>
        </w:rPr>
        <w:t>A. Dixit-V. Norman,</w:t>
      </w:r>
      <w:r w:rsidRPr="004D1B19">
        <w:rPr>
          <w:i/>
          <w:spacing w:val="-5"/>
          <w:lang w:val="en-US"/>
        </w:rPr>
        <w:t xml:space="preserve"> Advertising and welfare.</w:t>
      </w:r>
      <w:r w:rsidR="004D1B19" w:rsidRPr="004D1B19">
        <w:rPr>
          <w:i/>
          <w:spacing w:val="-5"/>
          <w:lang w:val="en-US"/>
        </w:rPr>
        <w:t>,</w:t>
      </w:r>
      <w:r w:rsidRPr="004D1B19">
        <w:rPr>
          <w:spacing w:val="-5"/>
          <w:lang w:val="en-US"/>
        </w:rPr>
        <w:t xml:space="preserve"> Bell Journal of Economics, 9, 1-17, 1978.</w:t>
      </w:r>
    </w:p>
    <w:p w:rsidR="0008016B" w:rsidRPr="004D1B19" w:rsidRDefault="0008016B" w:rsidP="004D1B19">
      <w:pPr>
        <w:pStyle w:val="Testo1"/>
        <w:spacing w:before="0" w:line="240" w:lineRule="atLeast"/>
        <w:rPr>
          <w:spacing w:val="-5"/>
          <w:lang w:val="en-US"/>
        </w:rPr>
      </w:pPr>
      <w:r w:rsidRPr="004D1B19">
        <w:rPr>
          <w:smallCaps/>
          <w:spacing w:val="-5"/>
          <w:sz w:val="16"/>
          <w:lang w:val="en-US"/>
        </w:rPr>
        <w:t>C. Shapiro,</w:t>
      </w:r>
      <w:r w:rsidRPr="004D1B19">
        <w:rPr>
          <w:i/>
          <w:spacing w:val="-5"/>
          <w:lang w:val="en-US"/>
        </w:rPr>
        <w:t xml:space="preserve"> Advertising and welfare: comment.</w:t>
      </w:r>
      <w:r w:rsidR="004D1B19" w:rsidRPr="004D1B19">
        <w:rPr>
          <w:i/>
          <w:spacing w:val="-5"/>
          <w:lang w:val="en-US"/>
        </w:rPr>
        <w:t>,</w:t>
      </w:r>
      <w:r w:rsidRPr="004D1B19">
        <w:rPr>
          <w:spacing w:val="-5"/>
          <w:lang w:val="en-US"/>
        </w:rPr>
        <w:t xml:space="preserve"> Bell Journal of Economics, 11, 749-752, 1980.</w:t>
      </w:r>
    </w:p>
    <w:p w:rsidR="0008016B" w:rsidRPr="004D1B19" w:rsidRDefault="0008016B" w:rsidP="004D1B19">
      <w:pPr>
        <w:pStyle w:val="Testo1"/>
        <w:spacing w:before="0" w:line="240" w:lineRule="atLeast"/>
        <w:rPr>
          <w:spacing w:val="-5"/>
          <w:lang w:val="en-US"/>
        </w:rPr>
      </w:pPr>
      <w:r w:rsidRPr="004D1B19">
        <w:rPr>
          <w:smallCaps/>
          <w:spacing w:val="-5"/>
          <w:sz w:val="16"/>
          <w:lang w:val="en-US"/>
        </w:rPr>
        <w:t>A. Dixit-V. Norman,</w:t>
      </w:r>
      <w:r w:rsidRPr="004D1B19">
        <w:rPr>
          <w:i/>
          <w:spacing w:val="-5"/>
          <w:lang w:val="en-US"/>
        </w:rPr>
        <w:t xml:space="preserve"> Advertising and welfare: another reply.</w:t>
      </w:r>
      <w:r w:rsidR="004D1B19" w:rsidRPr="004D1B19">
        <w:rPr>
          <w:i/>
          <w:spacing w:val="-5"/>
          <w:lang w:val="en-US"/>
        </w:rPr>
        <w:t>,</w:t>
      </w:r>
      <w:r w:rsidRPr="004D1B19">
        <w:rPr>
          <w:spacing w:val="-5"/>
          <w:lang w:val="en-US"/>
        </w:rPr>
        <w:t xml:space="preserve"> Bell Journal of Economics, 11, 753-754, 1980.</w:t>
      </w:r>
    </w:p>
    <w:p w:rsidR="0008016B" w:rsidRPr="007840E0" w:rsidRDefault="0008016B" w:rsidP="004D1B19">
      <w:pPr>
        <w:pStyle w:val="Testo1"/>
        <w:spacing w:before="0" w:line="240" w:lineRule="atLeast"/>
        <w:rPr>
          <w:spacing w:val="-5"/>
          <w:lang w:val="en-US"/>
        </w:rPr>
      </w:pPr>
      <w:r w:rsidRPr="00FD10FC">
        <w:rPr>
          <w:smallCaps/>
          <w:spacing w:val="-5"/>
          <w:lang w:val="en-US"/>
        </w:rPr>
        <w:lastRenderedPageBreak/>
        <w:t>S</w:t>
      </w:r>
      <w:r w:rsidRPr="004D1B19">
        <w:rPr>
          <w:smallCaps/>
          <w:spacing w:val="-5"/>
          <w:sz w:val="16"/>
          <w:lang w:val="en-US"/>
        </w:rPr>
        <w:t>. Rosen,</w:t>
      </w:r>
      <w:r w:rsidRPr="004D1B19">
        <w:rPr>
          <w:i/>
          <w:spacing w:val="-5"/>
          <w:lang w:val="en-US"/>
        </w:rPr>
        <w:t xml:space="preserve"> The Economics of Superstar.</w:t>
      </w:r>
      <w:r w:rsidR="004D1B19" w:rsidRPr="004D1B19">
        <w:rPr>
          <w:i/>
          <w:spacing w:val="-5"/>
          <w:lang w:val="en-US"/>
        </w:rPr>
        <w:t>,</w:t>
      </w:r>
      <w:r w:rsidRPr="004D1B19">
        <w:rPr>
          <w:spacing w:val="-5"/>
          <w:lang w:val="en-US"/>
        </w:rPr>
        <w:t xml:space="preserve"> </w:t>
      </w:r>
      <w:r w:rsidRPr="007840E0">
        <w:rPr>
          <w:spacing w:val="-5"/>
          <w:lang w:val="en-US"/>
        </w:rPr>
        <w:t>American Economic Review, 71, 845-58, 1981.</w:t>
      </w:r>
    </w:p>
    <w:p w:rsidR="0008016B" w:rsidRPr="00FD10FC" w:rsidRDefault="0008016B" w:rsidP="004D1B19">
      <w:pPr>
        <w:pStyle w:val="Testo1"/>
      </w:pPr>
      <w:r w:rsidRPr="00FD10FC">
        <w:t xml:space="preserve">Ulteriori indicazioni bibliografiche e precisazioni su quelle riportate potranno essere </w:t>
      </w:r>
      <w:r w:rsidR="00A11DC3">
        <w:t xml:space="preserve">comunicate a lezione e </w:t>
      </w:r>
      <w:r w:rsidRPr="00FD10FC">
        <w:t xml:space="preserve">pubblicate sulla piattaforma </w:t>
      </w:r>
      <w:r w:rsidRPr="00FD10FC">
        <w:rPr>
          <w:i/>
        </w:rPr>
        <w:t>Blackboard</w:t>
      </w:r>
      <w:r w:rsidRPr="00FD10FC">
        <w:t>.</w:t>
      </w:r>
    </w:p>
    <w:p w:rsidR="0008016B" w:rsidRPr="0008016B" w:rsidRDefault="0008016B" w:rsidP="0008016B">
      <w:pPr>
        <w:spacing w:before="240" w:after="120"/>
        <w:rPr>
          <w:b/>
          <w:i/>
          <w:sz w:val="18"/>
        </w:rPr>
      </w:pPr>
      <w:r>
        <w:rPr>
          <w:b/>
          <w:i/>
          <w:sz w:val="18"/>
        </w:rPr>
        <w:t>DIDATTICA DEL CORSO</w:t>
      </w:r>
    </w:p>
    <w:p w:rsidR="0008016B" w:rsidRPr="004D1B19" w:rsidRDefault="0008016B" w:rsidP="004D1B19">
      <w:pPr>
        <w:pStyle w:val="Testo2"/>
      </w:pPr>
      <w:r w:rsidRPr="004D1B19">
        <w:t xml:space="preserve">Sono previste lezioni frontali ed esercitazioni/laboratorio in aula. </w:t>
      </w:r>
    </w:p>
    <w:p w:rsidR="0008016B" w:rsidRPr="004D1B19" w:rsidRDefault="0008016B" w:rsidP="004D1B19">
      <w:pPr>
        <w:pStyle w:val="Testo2"/>
      </w:pPr>
      <w:r w:rsidRPr="004D1B19">
        <w:t xml:space="preserve">Durante le lezioni verranno presentati argomenti teorici, mentre le esercitazioni/laboratorio sono finalizzate a familiarizzare lo studente con la logica, la rappresentazione grafica e gli algoritmi di risoluzione dei modelli dettagliati durante l’insegnamento. </w:t>
      </w:r>
    </w:p>
    <w:p w:rsidR="0008016B" w:rsidRPr="004D1B19" w:rsidRDefault="0008016B" w:rsidP="004D1B19">
      <w:pPr>
        <w:pStyle w:val="Testo2"/>
      </w:pPr>
      <w:r w:rsidRPr="004D1B19">
        <w:t>Materiali didattici verranno pubblicati sulla piattaforma Blackboard.</w:t>
      </w:r>
    </w:p>
    <w:p w:rsidR="0008016B" w:rsidRPr="0008016B" w:rsidRDefault="0008016B" w:rsidP="0008016B">
      <w:pPr>
        <w:spacing w:before="240" w:after="120"/>
        <w:rPr>
          <w:rFonts w:eastAsia="Calibri"/>
          <w:b/>
          <w:i/>
          <w:sz w:val="18"/>
          <w:lang w:eastAsia="en-US"/>
        </w:rPr>
      </w:pPr>
      <w:r>
        <w:rPr>
          <w:rFonts w:eastAsia="Calibri"/>
          <w:b/>
          <w:i/>
          <w:sz w:val="18"/>
          <w:lang w:eastAsia="en-US"/>
        </w:rPr>
        <w:t>METODO E CRITERI DI VALUTAZIONE</w:t>
      </w:r>
    </w:p>
    <w:p w:rsidR="0008016B" w:rsidRPr="0008016B" w:rsidRDefault="0008016B" w:rsidP="0008016B">
      <w:pPr>
        <w:pStyle w:val="Testo2"/>
      </w:pPr>
      <w:r w:rsidRPr="0008016B">
        <w:t xml:space="preserve">L'esame può essere superato attraverso due prove infrannuali scritte, una sulla prima e una sulla seconda parte del programma, o attraverso un'unica prova scritta finale nella data ufficiale dell'appello seguita da una prova orale. </w:t>
      </w:r>
    </w:p>
    <w:p w:rsidR="0008016B" w:rsidRPr="0008016B" w:rsidRDefault="0008016B" w:rsidP="0008016B">
      <w:pPr>
        <w:pStyle w:val="Testo2"/>
      </w:pPr>
      <w:r w:rsidRPr="0008016B">
        <w:t xml:space="preserve">Le prove scritte infrannuali prevedono sia domande di teoria e sull’analisi grafica, sia esercizi di applicazione dei metodi analitici, proposti durante le esercitazioni. Sono di norma articolate in 4 insiemi di quesiti, tutti di eguale peso sulla valutazione complessiva della prova. </w:t>
      </w:r>
    </w:p>
    <w:p w:rsidR="0008016B" w:rsidRPr="0008016B" w:rsidRDefault="0008016B" w:rsidP="0008016B">
      <w:pPr>
        <w:pStyle w:val="Testo2"/>
      </w:pPr>
      <w:r w:rsidRPr="0008016B">
        <w:t>Il voto finale proposto sarà calcolato come media delle due prove infra-annuali, a condizione che queste abbiano un esito sufficiente: lo studente può accettare il voto proposto o chiedere un’integrazione orale, che in tal caso verterà sull’intero programma. Qualora per almeno una delle prove infrannuali la votazione non sia pienamente sufficiente potrà essere richiesto allo studente di sostenere una prova orale integrativa sulle parti in questione. Una valutazione pienamente insufficiente in una delle prove comporta il suo mancato superamento e quindi pregiudica la possibilità dello studente di fruire della modalità di superamento dell’esame tramite prove infra-annuali.</w:t>
      </w:r>
    </w:p>
    <w:p w:rsidR="0008016B" w:rsidRPr="0008016B" w:rsidRDefault="0008016B" w:rsidP="0008016B">
      <w:pPr>
        <w:pStyle w:val="Testo2"/>
      </w:pPr>
      <w:r w:rsidRPr="0008016B">
        <w:t>La prova scritta nella data ufficiale dell’esame prevede sia domande di teoria e sull’analisi grafica, sia esercizi, con prevalenza di questi ultimi; la prova orale, riservata a chi abbia ottenuto una valutazione positiva nella prova scritta, si concentra sulla verifica della conoscenza delle nozioni di teoria e sull’analisi grafica.</w:t>
      </w:r>
    </w:p>
    <w:p w:rsidR="0008016B" w:rsidRDefault="0008016B" w:rsidP="0008016B">
      <w:pPr>
        <w:pStyle w:val="Testo2"/>
      </w:pPr>
      <w:r w:rsidRPr="0008016B">
        <w:t>Nelle prove scritte, infrannuali e finale, la valutazione riguarda le conoscenze teoriche, l’analisi grafica e la capacità di risolvere semplici esercizi analitici. Riguardo a questi ultimi, gli errori di calcolo con procedimento corretto sono penalizzati con la metà dei punti attribuiti all’esercizio o alla parte di esercizio in questione. Nelle prove orali, che si concentrano sulla verifica della conoscenza delle nozioni di teoria e sull’analisi grafica, sono valutate in primo luogo la correttezza delle risposte e la precisione terminologica e logica, in secondo luogo l’efficacia espositiva.</w:t>
      </w:r>
    </w:p>
    <w:p w:rsidR="00526CAB" w:rsidRPr="00B27E5A" w:rsidRDefault="00526CAB" w:rsidP="00526CAB">
      <w:pPr>
        <w:pStyle w:val="Testo2"/>
      </w:pPr>
      <w:r w:rsidRPr="00571934">
        <w:t xml:space="preserve">Le modalità di erogazione degli esami e il processo di valutazione </w:t>
      </w:r>
      <w:r w:rsidR="00A11DC3">
        <w:t>potrebbero</w:t>
      </w:r>
      <w:r w:rsidR="00A11DC3" w:rsidRPr="00571934">
        <w:t xml:space="preserve"> </w:t>
      </w:r>
      <w:r w:rsidRPr="00571934">
        <w:t xml:space="preserve">subire modifiche, a parità sostanziale dei criteri di valutazione, in base alle norme che </w:t>
      </w:r>
      <w:r w:rsidR="00A11DC3" w:rsidRPr="00571934">
        <w:t>ve</w:t>
      </w:r>
      <w:r w:rsidR="00A11DC3">
        <w:t>nissero</w:t>
      </w:r>
      <w:r w:rsidR="00A11DC3" w:rsidRPr="00571934">
        <w:t xml:space="preserve"> </w:t>
      </w:r>
      <w:r w:rsidRPr="00571934">
        <w:t xml:space="preserve">disposte dalle Autorità Competenti come conseguenza della pandemia di Covid-19. </w:t>
      </w:r>
      <w:r w:rsidRPr="00571934">
        <w:lastRenderedPageBreak/>
        <w:t>Eventuali cambiamenti che si dovessero rendere necessari saranno in ogni caso comunicati a inizio corso</w:t>
      </w:r>
      <w:r w:rsidR="00A11DC3">
        <w:t xml:space="preserve"> o durante lo stesso</w:t>
      </w:r>
      <w:r w:rsidRPr="00571934">
        <w:t>.</w:t>
      </w:r>
    </w:p>
    <w:p w:rsidR="0008016B" w:rsidRPr="0008016B" w:rsidRDefault="0008016B" w:rsidP="0008016B">
      <w:pPr>
        <w:spacing w:before="240" w:after="120" w:line="240" w:lineRule="exact"/>
        <w:rPr>
          <w:rFonts w:eastAsia="Calibri"/>
          <w:b/>
          <w:i/>
          <w:sz w:val="18"/>
          <w:szCs w:val="20"/>
          <w:lang w:eastAsia="en-US"/>
        </w:rPr>
      </w:pPr>
      <w:r>
        <w:rPr>
          <w:rFonts w:eastAsia="Calibri"/>
          <w:b/>
          <w:i/>
          <w:sz w:val="18"/>
          <w:szCs w:val="20"/>
          <w:lang w:eastAsia="en-US"/>
        </w:rPr>
        <w:t>AVVERTENZE E PREREQUISITI</w:t>
      </w:r>
    </w:p>
    <w:p w:rsidR="0008016B" w:rsidRPr="0008016B" w:rsidRDefault="0008016B" w:rsidP="0008016B">
      <w:pPr>
        <w:pStyle w:val="Testo2"/>
      </w:pPr>
      <w:r w:rsidRPr="0008016B">
        <w:t>Durante il corso verrà utilizzata la piattaforma Blackboard, per cui si raccomanda agli studenti di disporre della propria password di accesso e di monitorarne la pagina dedicata, nonché di verificare la correttezza della mail inserita per non perdere le comunicazioni dei docenti.</w:t>
      </w:r>
    </w:p>
    <w:p w:rsidR="0008016B" w:rsidRPr="0008016B" w:rsidRDefault="0008016B" w:rsidP="0008016B">
      <w:pPr>
        <w:pStyle w:val="Testo2"/>
      </w:pPr>
      <w:r w:rsidRPr="0008016B">
        <w:t>In connessione all’insegnamento è attivato un laboratorio di esercitazioni su applicazioni economiche utile in particolare per la preparazione delle prove scritte.</w:t>
      </w:r>
    </w:p>
    <w:p w:rsidR="0008016B" w:rsidRDefault="0008016B" w:rsidP="0008016B">
      <w:pPr>
        <w:pStyle w:val="Testo2"/>
      </w:pPr>
      <w:r w:rsidRPr="0008016B">
        <w:t xml:space="preserve">Prerequisito per poter seguire con profitto l’insegnamento è la conoscenza degli elementi di base dell’analisi microeconomica e in particolare della teoria del consumatore e della teoria dei mercati (monopolio, concorrenza perfetta, oligopolio). </w:t>
      </w:r>
    </w:p>
    <w:p w:rsidR="00526CAB" w:rsidRPr="00571934" w:rsidRDefault="00526CAB" w:rsidP="00526CAB">
      <w:pPr>
        <w:pStyle w:val="Testo2"/>
      </w:pPr>
      <w:r w:rsidRPr="00571934">
        <w:t>Nel caso in cui la situazione sanitaria relativa alla pandemia di Covid-19 non dovesse</w:t>
      </w:r>
    </w:p>
    <w:p w:rsidR="00526CAB" w:rsidRPr="002C0440" w:rsidDel="0048105F" w:rsidRDefault="00526CAB" w:rsidP="00526CAB">
      <w:pPr>
        <w:pStyle w:val="Testo2"/>
        <w:ind w:firstLine="0"/>
      </w:pPr>
      <w:r w:rsidRPr="00571934">
        <w:t>consentire la didattica in presenza</w:t>
      </w:r>
      <w:r w:rsidR="00A11DC3">
        <w:t xml:space="preserve"> senza limitazioni derivanti dalla capienza della sede e delle aule</w:t>
      </w:r>
      <w:r w:rsidRPr="00571934">
        <w:t xml:space="preserve">, sarà garantita l’erogazione </w:t>
      </w:r>
      <w:r w:rsidR="00A11DC3">
        <w:t xml:space="preserve">anche </w:t>
      </w:r>
      <w:r w:rsidRPr="00571934">
        <w:t xml:space="preserve">a distanza dell’insegnamento </w:t>
      </w:r>
      <w:r>
        <w:t xml:space="preserve">e degli esami di profitto </w:t>
      </w:r>
      <w:r w:rsidRPr="00571934">
        <w:t>con modalità che verranno comunicate in tempo utile agli studenti.</w:t>
      </w:r>
    </w:p>
    <w:p w:rsidR="004D1B19" w:rsidRDefault="004D1B19" w:rsidP="004D1B19">
      <w:pPr>
        <w:pStyle w:val="Testo2"/>
        <w:spacing w:before="120"/>
        <w:rPr>
          <w:rFonts w:eastAsia="Calibri"/>
          <w:i/>
        </w:rPr>
      </w:pPr>
      <w:r>
        <w:rPr>
          <w:rFonts w:eastAsia="Calibri"/>
          <w:i/>
        </w:rPr>
        <w:t>O</w:t>
      </w:r>
      <w:r w:rsidRPr="004D1B19">
        <w:rPr>
          <w:rFonts w:eastAsia="Calibri"/>
          <w:i/>
        </w:rPr>
        <w:t xml:space="preserve">rario e luogo di ricevimento </w:t>
      </w:r>
    </w:p>
    <w:p w:rsidR="0008016B" w:rsidRPr="004D1B19" w:rsidRDefault="0008016B" w:rsidP="004D1B19">
      <w:pPr>
        <w:pStyle w:val="Testo2"/>
      </w:pPr>
      <w:r w:rsidRPr="004D1B19">
        <w:t>Il Prof. Guido Merzoni riceve gli studenti presso il Dipartimento di Economia Internazionale, delle Istituzioni e dello Sviluppo, Via Necchi, 5 IV piano, secondo l'orario esposto in quella sede e pubblicato sulla Pagina Personale Docente</w:t>
      </w:r>
      <w:r w:rsidR="00A11DC3">
        <w:t xml:space="preserve"> o attraverso strumenti telematici nel caso in cui il ricevimento in presenza non fosse consentito</w:t>
      </w:r>
      <w:r w:rsidRPr="004D1B19">
        <w:t xml:space="preserve">. </w:t>
      </w:r>
    </w:p>
    <w:p w:rsidR="0008016B" w:rsidRPr="004D1B19" w:rsidRDefault="0008016B" w:rsidP="004D1B19">
      <w:pPr>
        <w:pStyle w:val="Testo2"/>
      </w:pPr>
      <w:r w:rsidRPr="004D1B19">
        <w:t>Gli orari di ricevimento potrebbero subire delle modifiche, quindi si consiglia di prendere sempre visione degli avvisi nella bacheca elettronica della Pagina Personale dei docenti.</w:t>
      </w:r>
    </w:p>
    <w:sectPr w:rsidR="0008016B" w:rsidRPr="004D1B19"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22DD" w:rsidRDefault="004222DD" w:rsidP="004222DD">
      <w:pPr>
        <w:spacing w:line="240" w:lineRule="auto"/>
      </w:pPr>
      <w:r>
        <w:separator/>
      </w:r>
    </w:p>
  </w:endnote>
  <w:endnote w:type="continuationSeparator" w:id="0">
    <w:p w:rsidR="004222DD" w:rsidRDefault="004222DD" w:rsidP="004222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22DD" w:rsidRDefault="004222DD" w:rsidP="004222DD">
      <w:pPr>
        <w:spacing w:line="240" w:lineRule="auto"/>
      </w:pPr>
      <w:r>
        <w:separator/>
      </w:r>
    </w:p>
  </w:footnote>
  <w:footnote w:type="continuationSeparator" w:id="0">
    <w:p w:rsidR="004222DD" w:rsidRDefault="004222DD" w:rsidP="004222DD">
      <w:pPr>
        <w:spacing w:line="240" w:lineRule="auto"/>
      </w:pPr>
      <w:r>
        <w:continuationSeparator/>
      </w:r>
    </w:p>
  </w:footnote>
  <w:footnote w:id="1">
    <w:p w:rsidR="004222DD" w:rsidRDefault="004222DD">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80F3E"/>
    <w:multiLevelType w:val="hybridMultilevel"/>
    <w:tmpl w:val="708AF3AE"/>
    <w:lvl w:ilvl="0" w:tplc="2CB0EBD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5F27344E"/>
    <w:multiLevelType w:val="hybridMultilevel"/>
    <w:tmpl w:val="BC7459AC"/>
    <w:lvl w:ilvl="0" w:tplc="F2AE9D80">
      <w:numFmt w:val="bullet"/>
      <w:lvlText w:val="-"/>
      <w:lvlJc w:val="left"/>
      <w:pPr>
        <w:ind w:left="360" w:hanging="360"/>
      </w:pPr>
      <w:rPr>
        <w:rFonts w:ascii="Times New Roman" w:eastAsia="Calibri"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16B"/>
    <w:rsid w:val="0008016B"/>
    <w:rsid w:val="00187B99"/>
    <w:rsid w:val="002014DD"/>
    <w:rsid w:val="002D5E17"/>
    <w:rsid w:val="004222DD"/>
    <w:rsid w:val="004D1217"/>
    <w:rsid w:val="004D1B19"/>
    <w:rsid w:val="004D6008"/>
    <w:rsid w:val="00526CAB"/>
    <w:rsid w:val="00640794"/>
    <w:rsid w:val="006F0020"/>
    <w:rsid w:val="006F1772"/>
    <w:rsid w:val="00764E25"/>
    <w:rsid w:val="007840E0"/>
    <w:rsid w:val="008942E7"/>
    <w:rsid w:val="008A1204"/>
    <w:rsid w:val="00900CCA"/>
    <w:rsid w:val="00924B77"/>
    <w:rsid w:val="00940DA2"/>
    <w:rsid w:val="009E055C"/>
    <w:rsid w:val="00A11DC3"/>
    <w:rsid w:val="00A74F6F"/>
    <w:rsid w:val="00AD7557"/>
    <w:rsid w:val="00B50C5D"/>
    <w:rsid w:val="00B51253"/>
    <w:rsid w:val="00B525CC"/>
    <w:rsid w:val="00D404F2"/>
    <w:rsid w:val="00DA4DF5"/>
    <w:rsid w:val="00E607E6"/>
    <w:rsid w:val="00FA02F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08016B"/>
    <w:pPr>
      <w:tabs>
        <w:tab w:val="clear" w:pos="284"/>
      </w:tabs>
      <w:spacing w:line="276" w:lineRule="auto"/>
      <w:ind w:left="720"/>
      <w:contextualSpacing/>
    </w:pPr>
    <w:rPr>
      <w:rFonts w:eastAsia="Calibri"/>
      <w:szCs w:val="22"/>
      <w:lang w:eastAsia="en-US"/>
    </w:rPr>
  </w:style>
  <w:style w:type="paragraph" w:styleId="Testofumetto">
    <w:name w:val="Balloon Text"/>
    <w:basedOn w:val="Normale"/>
    <w:link w:val="TestofumettoCarattere"/>
    <w:rsid w:val="00DA4DF5"/>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rsid w:val="00DA4DF5"/>
    <w:rPr>
      <w:rFonts w:ascii="Segoe UI" w:hAnsi="Segoe UI" w:cs="Segoe UI"/>
      <w:sz w:val="18"/>
      <w:szCs w:val="18"/>
    </w:rPr>
  </w:style>
  <w:style w:type="paragraph" w:styleId="Testonotaapidipagina">
    <w:name w:val="footnote text"/>
    <w:basedOn w:val="Normale"/>
    <w:link w:val="TestonotaapidipaginaCarattere"/>
    <w:rsid w:val="004222DD"/>
    <w:pPr>
      <w:spacing w:line="240" w:lineRule="auto"/>
    </w:pPr>
    <w:rPr>
      <w:szCs w:val="20"/>
    </w:rPr>
  </w:style>
  <w:style w:type="character" w:customStyle="1" w:styleId="TestonotaapidipaginaCarattere">
    <w:name w:val="Testo nota a piè di pagina Carattere"/>
    <w:basedOn w:val="Carpredefinitoparagrafo"/>
    <w:link w:val="Testonotaapidipagina"/>
    <w:rsid w:val="004222DD"/>
  </w:style>
  <w:style w:type="character" w:styleId="Rimandonotaapidipagina">
    <w:name w:val="footnote reference"/>
    <w:basedOn w:val="Carpredefinitoparagrafo"/>
    <w:rsid w:val="004222DD"/>
    <w:rPr>
      <w:vertAlign w:val="superscript"/>
    </w:rPr>
  </w:style>
  <w:style w:type="character" w:styleId="Collegamentoipertestuale">
    <w:name w:val="Hyperlink"/>
    <w:basedOn w:val="Carpredefinitoparagrafo"/>
    <w:rsid w:val="004222DD"/>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08016B"/>
    <w:pPr>
      <w:tabs>
        <w:tab w:val="clear" w:pos="284"/>
      </w:tabs>
      <w:spacing w:line="276" w:lineRule="auto"/>
      <w:ind w:left="720"/>
      <w:contextualSpacing/>
    </w:pPr>
    <w:rPr>
      <w:rFonts w:eastAsia="Calibri"/>
      <w:szCs w:val="22"/>
      <w:lang w:eastAsia="en-US"/>
    </w:rPr>
  </w:style>
  <w:style w:type="paragraph" w:styleId="Testofumetto">
    <w:name w:val="Balloon Text"/>
    <w:basedOn w:val="Normale"/>
    <w:link w:val="TestofumettoCarattere"/>
    <w:rsid w:val="00DA4DF5"/>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rsid w:val="00DA4DF5"/>
    <w:rPr>
      <w:rFonts w:ascii="Segoe UI" w:hAnsi="Segoe UI" w:cs="Segoe UI"/>
      <w:sz w:val="18"/>
      <w:szCs w:val="18"/>
    </w:rPr>
  </w:style>
  <w:style w:type="paragraph" w:styleId="Testonotaapidipagina">
    <w:name w:val="footnote text"/>
    <w:basedOn w:val="Normale"/>
    <w:link w:val="TestonotaapidipaginaCarattere"/>
    <w:rsid w:val="004222DD"/>
    <w:pPr>
      <w:spacing w:line="240" w:lineRule="auto"/>
    </w:pPr>
    <w:rPr>
      <w:szCs w:val="20"/>
    </w:rPr>
  </w:style>
  <w:style w:type="character" w:customStyle="1" w:styleId="TestonotaapidipaginaCarattere">
    <w:name w:val="Testo nota a piè di pagina Carattere"/>
    <w:basedOn w:val="Carpredefinitoparagrafo"/>
    <w:link w:val="Testonotaapidipagina"/>
    <w:rsid w:val="004222DD"/>
  </w:style>
  <w:style w:type="character" w:styleId="Rimandonotaapidipagina">
    <w:name w:val="footnote reference"/>
    <w:basedOn w:val="Carpredefinitoparagrafo"/>
    <w:rsid w:val="004222DD"/>
    <w:rPr>
      <w:vertAlign w:val="superscript"/>
    </w:rPr>
  </w:style>
  <w:style w:type="character" w:styleId="Collegamentoipertestuale">
    <w:name w:val="Hyperlink"/>
    <w:basedOn w:val="Carpredefinitoparagrafo"/>
    <w:rsid w:val="004222D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ibrerie.unicatt.it/scheda-libro/luis-cabral/economia-industriale-9788843092611-552564.html" TargetMode="External"/><Relationship Id="rId5" Type="http://schemas.openxmlformats.org/officeDocument/2006/relationships/settings" Target="settings.xml"/><Relationship Id="rId10" Type="http://schemas.openxmlformats.org/officeDocument/2006/relationships/hyperlink" Target="https://librerie.unicatt.it/scheda-libro/varian-hal-r/microeconomia-9788875433079-179129.html" TargetMode="External"/><Relationship Id="rId4" Type="http://schemas.microsoft.com/office/2007/relationships/stylesWithEffects" Target="stylesWithEffects.xml"/><Relationship Id="rId9" Type="http://schemas.openxmlformats.org/officeDocument/2006/relationships/hyperlink" Target="https://librerie.unicatt.it/scheda-libro/varian-hal-r/microeconomia-9788875433079-179129.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974CE1-EDCE-4EDD-9A1B-D11133500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4</TotalTime>
  <Pages>4</Pages>
  <Words>1221</Words>
  <Characters>8058</Characters>
  <Application>Microsoft Office Word</Application>
  <DocSecurity>0</DocSecurity>
  <Lines>67</Lines>
  <Paragraphs>18</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9261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4</cp:revision>
  <cp:lastPrinted>2003-03-27T10:42:00Z</cp:lastPrinted>
  <dcterms:created xsi:type="dcterms:W3CDTF">2021-06-29T06:37:00Z</dcterms:created>
  <dcterms:modified xsi:type="dcterms:W3CDTF">2021-07-06T06:59:00Z</dcterms:modified>
</cp:coreProperties>
</file>