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09EAB" w14:textId="77777777" w:rsidR="006F1772" w:rsidRPr="004B452F" w:rsidRDefault="003B3443" w:rsidP="00D531B0">
      <w:pPr>
        <w:pStyle w:val="Titolo1"/>
        <w:spacing w:line="240" w:lineRule="auto"/>
        <w:ind w:left="0" w:firstLine="0"/>
        <w:contextualSpacing/>
        <w:rPr>
          <w:rFonts w:ascii="Times New Roman" w:hAnsi="Times New Roman"/>
          <w:color w:val="000000" w:themeColor="text1"/>
        </w:rPr>
      </w:pPr>
      <w:r w:rsidRPr="004B452F">
        <w:rPr>
          <w:rFonts w:ascii="Times New Roman" w:hAnsi="Times New Roman"/>
          <w:color w:val="000000" w:themeColor="text1"/>
        </w:rPr>
        <w:t xml:space="preserve">Filosofia della </w:t>
      </w:r>
      <w:r w:rsidR="00A875B3" w:rsidRPr="004B452F">
        <w:rPr>
          <w:rFonts w:ascii="Times New Roman" w:hAnsi="Times New Roman"/>
          <w:color w:val="000000" w:themeColor="text1"/>
        </w:rPr>
        <w:t>P</w:t>
      </w:r>
      <w:r w:rsidRPr="004B452F">
        <w:rPr>
          <w:rFonts w:ascii="Times New Roman" w:hAnsi="Times New Roman"/>
          <w:color w:val="000000" w:themeColor="text1"/>
        </w:rPr>
        <w:t xml:space="preserve">rassi </w:t>
      </w:r>
      <w:r w:rsidR="00A875B3" w:rsidRPr="004B452F">
        <w:rPr>
          <w:rFonts w:ascii="Times New Roman" w:hAnsi="Times New Roman"/>
          <w:color w:val="000000" w:themeColor="text1"/>
        </w:rPr>
        <w:t>U</w:t>
      </w:r>
      <w:r w:rsidRPr="004B452F">
        <w:rPr>
          <w:rFonts w:ascii="Times New Roman" w:hAnsi="Times New Roman"/>
          <w:color w:val="000000" w:themeColor="text1"/>
        </w:rPr>
        <w:t>mana</w:t>
      </w:r>
    </w:p>
    <w:p w14:paraId="6D940EB7" w14:textId="77777777" w:rsidR="00EF1487" w:rsidRPr="004B452F" w:rsidRDefault="00923072" w:rsidP="00D531B0">
      <w:pPr>
        <w:pStyle w:val="Titolo2"/>
        <w:spacing w:line="240" w:lineRule="auto"/>
        <w:contextualSpacing/>
        <w:rPr>
          <w:rFonts w:ascii="Times New Roman" w:hAnsi="Times New Roman"/>
          <w:color w:val="000000" w:themeColor="text1"/>
        </w:rPr>
      </w:pPr>
      <w:r w:rsidRPr="004B452F">
        <w:rPr>
          <w:rFonts w:ascii="Times New Roman" w:hAnsi="Times New Roman"/>
          <w:color w:val="000000" w:themeColor="text1"/>
        </w:rPr>
        <w:t xml:space="preserve">Prof. </w:t>
      </w:r>
      <w:r w:rsidR="00A875B3" w:rsidRPr="004B452F">
        <w:rPr>
          <w:rFonts w:ascii="Times New Roman" w:hAnsi="Times New Roman"/>
          <w:color w:val="000000" w:themeColor="text1"/>
        </w:rPr>
        <w:t xml:space="preserve"> </w:t>
      </w:r>
      <w:r w:rsidR="00613344" w:rsidRPr="004B452F">
        <w:rPr>
          <w:rFonts w:ascii="Times New Roman" w:hAnsi="Times New Roman"/>
          <w:color w:val="000000" w:themeColor="text1"/>
        </w:rPr>
        <w:t>Alessandra Papa</w:t>
      </w:r>
    </w:p>
    <w:p w14:paraId="6405616A" w14:textId="77777777" w:rsidR="0077573D" w:rsidRPr="004B452F" w:rsidRDefault="0077573D" w:rsidP="00D531B0">
      <w:pPr>
        <w:spacing w:before="240" w:after="120" w:line="240" w:lineRule="auto"/>
        <w:rPr>
          <w:b/>
          <w:i/>
          <w:color w:val="000000" w:themeColor="text1"/>
          <w:szCs w:val="20"/>
        </w:rPr>
      </w:pPr>
      <w:r w:rsidRPr="004B452F">
        <w:rPr>
          <w:b/>
          <w:i/>
          <w:color w:val="000000" w:themeColor="text1"/>
          <w:szCs w:val="20"/>
        </w:rPr>
        <w:t>OBIETTIVO DEL CORSO E RISULTATI DI APPRENDIMENTO ATTESI</w:t>
      </w:r>
    </w:p>
    <w:p w14:paraId="3D76FEBE" w14:textId="77777777" w:rsidR="00031B46" w:rsidRPr="0004482C" w:rsidRDefault="00031B46" w:rsidP="00031B46">
      <w:pPr>
        <w:spacing w:line="240" w:lineRule="auto"/>
        <w:contextualSpacing/>
        <w:rPr>
          <w:rFonts w:ascii="Times" w:hAnsi="Times" w:cstheme="minorHAnsi"/>
          <w:color w:val="000000" w:themeColor="text1"/>
          <w:szCs w:val="20"/>
        </w:rPr>
      </w:pPr>
      <w:r w:rsidRPr="0004482C">
        <w:rPr>
          <w:rFonts w:ascii="Times" w:hAnsi="Times" w:cstheme="minorHAnsi"/>
          <w:color w:val="000000" w:themeColor="text1"/>
          <w:szCs w:val="20"/>
        </w:rPr>
        <w:t xml:space="preserve">L’insegnamento si propone di evidenziare la cifra formativa della riflessione filosofica e, per la sua peculiarità, di fornire agli Studenti le nozioni di base di Filosofia della Prassi Umana, nonché di introdurre alla comprensione del significato etico delle relazioni interpersonali. Al contempo, scopo del corso sarà pure quello di fornire strumenti di riflessione critica sull’uomo, nonché sulla costruzione della sua identità attraverso le sue relazioni interpersonali, per mobilitare la riflessione morale </w:t>
      </w:r>
      <w:r w:rsidRPr="0004482C">
        <w:rPr>
          <w:rFonts w:ascii="Times" w:hAnsi="Times"/>
          <w:color w:val="000000" w:themeColor="text1"/>
          <w:szCs w:val="20"/>
        </w:rPr>
        <w:t xml:space="preserve">quale efficace antidoto culturale alla strumentalizzazione e alla violenza. </w:t>
      </w:r>
      <w:r w:rsidRPr="0004482C">
        <w:rPr>
          <w:rFonts w:ascii="Times" w:hAnsi="Times" w:cstheme="minorHAnsi"/>
          <w:color w:val="000000" w:themeColor="text1"/>
          <w:szCs w:val="20"/>
        </w:rPr>
        <w:t xml:space="preserve">In chiave propedeutica alla filosofia, l’insegnamento sarà, inoltre, volto a favorire la conoscenza diretta del testo filosofico e l’acquisizione di un vocabolario disciplinare adeguato, attraverso uno studio guidato e graduale dei testi. </w:t>
      </w:r>
    </w:p>
    <w:p w14:paraId="3889D0E2" w14:textId="77777777" w:rsidR="00031B46" w:rsidRPr="0004482C" w:rsidRDefault="00031B46" w:rsidP="00031B46">
      <w:pPr>
        <w:pStyle w:val="NormaleWeb"/>
        <w:spacing w:before="0" w:beforeAutospacing="0" w:after="120" w:afterAutospacing="0"/>
        <w:ind w:right="28"/>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 xml:space="preserve">Al termine del corso </w:t>
      </w:r>
      <w:r w:rsidRPr="0004482C">
        <w:rPr>
          <w:rFonts w:ascii="Times" w:hAnsi="Times"/>
          <w:color w:val="000000" w:themeColor="text1"/>
          <w:sz w:val="20"/>
          <w:szCs w:val="20"/>
        </w:rPr>
        <w:t xml:space="preserve">– rispetto alle aspettative generali di apprendimento – </w:t>
      </w:r>
      <w:r w:rsidRPr="0004482C">
        <w:rPr>
          <w:rFonts w:ascii="Times" w:hAnsi="Times" w:cstheme="minorHAnsi"/>
          <w:color w:val="000000" w:themeColor="text1"/>
          <w:sz w:val="20"/>
          <w:szCs w:val="20"/>
        </w:rPr>
        <w:t>ci si attende, dunque, che lo studente sia in grado di:</w:t>
      </w:r>
    </w:p>
    <w:p w14:paraId="1A1F30F1" w14:textId="77777777" w:rsidR="00031B46" w:rsidRPr="0004482C" w:rsidRDefault="00031B46" w:rsidP="00031B46">
      <w:pPr>
        <w:pStyle w:val="Paragrafoelenco"/>
        <w:widowControl w:val="0"/>
        <w:numPr>
          <w:ilvl w:val="0"/>
          <w:numId w:val="14"/>
        </w:numPr>
        <w:tabs>
          <w:tab w:val="clear" w:pos="284"/>
          <w:tab w:val="left" w:pos="259"/>
        </w:tabs>
        <w:snapToGrid w:val="0"/>
        <w:spacing w:before="38" w:line="240" w:lineRule="exact"/>
        <w:ind w:left="261" w:right="27" w:hanging="261"/>
        <w:rPr>
          <w:rFonts w:ascii="Times" w:eastAsia="Arial" w:hAnsi="Times" w:cstheme="minorHAnsi"/>
          <w:color w:val="000000" w:themeColor="text1"/>
          <w:szCs w:val="20"/>
        </w:rPr>
      </w:pPr>
      <w:r w:rsidRPr="0004482C">
        <w:rPr>
          <w:rFonts w:ascii="Times" w:hAnsi="Times" w:cstheme="minorHAnsi"/>
          <w:color w:val="000000" w:themeColor="text1"/>
          <w:szCs w:val="20"/>
        </w:rPr>
        <w:t>Conoscere gli elementi fondamentali della Filosofia della Prassi Umana.</w:t>
      </w:r>
    </w:p>
    <w:p w14:paraId="39A541ED" w14:textId="77777777" w:rsidR="00031B46" w:rsidRPr="0004482C" w:rsidRDefault="00031B46" w:rsidP="00031B46">
      <w:pPr>
        <w:pStyle w:val="Paragrafoelenco"/>
        <w:widowControl w:val="0"/>
        <w:numPr>
          <w:ilvl w:val="0"/>
          <w:numId w:val="14"/>
        </w:numPr>
        <w:tabs>
          <w:tab w:val="clear" w:pos="284"/>
          <w:tab w:val="left" w:pos="259"/>
        </w:tabs>
        <w:snapToGrid w:val="0"/>
        <w:spacing w:before="38" w:line="240" w:lineRule="exact"/>
        <w:ind w:left="261" w:right="27" w:hanging="261"/>
        <w:rPr>
          <w:rFonts w:ascii="Times" w:eastAsia="Arial" w:hAnsi="Times" w:cstheme="minorHAnsi"/>
          <w:color w:val="000000" w:themeColor="text1"/>
          <w:szCs w:val="20"/>
        </w:rPr>
      </w:pPr>
      <w:r w:rsidRPr="0004482C">
        <w:rPr>
          <w:rFonts w:ascii="Times" w:hAnsi="Times" w:cstheme="minorHAnsi"/>
          <w:color w:val="000000" w:themeColor="text1"/>
          <w:szCs w:val="20"/>
        </w:rPr>
        <w:t>Comprendere, in modo critico, le tematiche antropologiche e i principali</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paradigmi,</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in</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ordine</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al rapporto</w:t>
      </w:r>
      <w:r w:rsidRPr="0004482C">
        <w:rPr>
          <w:rFonts w:ascii="Times" w:hAnsi="Times" w:cstheme="minorHAnsi"/>
          <w:color w:val="000000" w:themeColor="text1"/>
          <w:spacing w:val="-6"/>
          <w:szCs w:val="20"/>
        </w:rPr>
        <w:t xml:space="preserve"> </w:t>
      </w:r>
      <w:r w:rsidRPr="0004482C">
        <w:rPr>
          <w:rFonts w:ascii="Times" w:hAnsi="Times" w:cstheme="minorHAnsi"/>
          <w:color w:val="000000" w:themeColor="text1"/>
          <w:szCs w:val="20"/>
        </w:rPr>
        <w:t>tra</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visione</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dell'uomo,</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agire</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morale,</w:t>
      </w:r>
      <w:r w:rsidRPr="0004482C">
        <w:rPr>
          <w:rFonts w:ascii="Times" w:hAnsi="Times" w:cstheme="minorHAnsi"/>
          <w:color w:val="000000" w:themeColor="text1"/>
          <w:spacing w:val="-6"/>
          <w:szCs w:val="20"/>
        </w:rPr>
        <w:t xml:space="preserve"> </w:t>
      </w:r>
      <w:r w:rsidRPr="0004482C">
        <w:rPr>
          <w:rFonts w:ascii="Times" w:hAnsi="Times" w:cstheme="minorHAnsi"/>
          <w:color w:val="000000" w:themeColor="text1"/>
          <w:szCs w:val="20"/>
        </w:rPr>
        <w:t>forme</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della</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cultura.</w:t>
      </w:r>
    </w:p>
    <w:p w14:paraId="13DEF9AA" w14:textId="77777777"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Comprendere e padroneggiare il lessico base della riflessione filosofica su temi quali l’autonomia di giudizio e i rischi dell’obbedienza acritica, l’insormontabilità dei diritti umani e il rispetto della diversità delle culture.</w:t>
      </w:r>
    </w:p>
    <w:p w14:paraId="6C1CBD0E" w14:textId="77777777"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Prendere posizione in modo lucido e argomentato su questioni etiche e antropologiche che coinvolgono i temi trattati nel corso.</w:t>
      </w:r>
    </w:p>
    <w:p w14:paraId="258DBB2C" w14:textId="77777777"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Conversare e dibattere sulle tematiche etiche affrontate a lezione facendo esplicito riferimento al vocabolario e alle strategie argomentative della tradizione filosofica.</w:t>
      </w:r>
    </w:p>
    <w:p w14:paraId="49524ED7" w14:textId="77777777"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Leggere e comprendere testi filosofici complessi dedicati alla riflessione morale.</w:t>
      </w:r>
    </w:p>
    <w:p w14:paraId="75A76F5C" w14:textId="77777777"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Sviluppare quelle capacità di apprendimento che sono loro necessarie per intraprendere studi successivi con un più alto grado di autonomia.</w:t>
      </w:r>
    </w:p>
    <w:p w14:paraId="36A33746" w14:textId="77777777" w:rsidR="00EF1487" w:rsidRPr="004B452F" w:rsidRDefault="00EF1487" w:rsidP="00D531B0">
      <w:pPr>
        <w:spacing w:before="240" w:after="120" w:line="240" w:lineRule="auto"/>
        <w:rPr>
          <w:b/>
          <w:i/>
          <w:color w:val="000000" w:themeColor="text1"/>
          <w:szCs w:val="20"/>
        </w:rPr>
      </w:pPr>
      <w:r w:rsidRPr="004B452F">
        <w:rPr>
          <w:b/>
          <w:i/>
          <w:color w:val="000000" w:themeColor="text1"/>
          <w:szCs w:val="20"/>
        </w:rPr>
        <w:t>PROGRAMMA DEL CORSO</w:t>
      </w:r>
    </w:p>
    <w:p w14:paraId="2E8C3CB1" w14:textId="5A307592" w:rsidR="00031B46" w:rsidRDefault="00031B46" w:rsidP="00031B46">
      <w:pPr>
        <w:spacing w:line="240" w:lineRule="auto"/>
        <w:contextualSpacing/>
        <w:rPr>
          <w:rFonts w:ascii="Times" w:hAnsi="Times" w:cstheme="minorHAnsi"/>
          <w:color w:val="000000" w:themeColor="text1"/>
          <w:szCs w:val="20"/>
        </w:rPr>
      </w:pPr>
      <w:r w:rsidRPr="0004482C">
        <w:rPr>
          <w:rFonts w:ascii="Times" w:hAnsi="Times" w:cstheme="minorHAnsi"/>
          <w:color w:val="000000" w:themeColor="text1"/>
          <w:szCs w:val="20"/>
        </w:rPr>
        <w:t xml:space="preserve">Il corso si articola intorno al </w:t>
      </w:r>
      <w:r w:rsidRPr="0004482C">
        <w:rPr>
          <w:rFonts w:ascii="Times" w:hAnsi="Times" w:cstheme="minorHAnsi"/>
          <w:i/>
          <w:color w:val="000000" w:themeColor="text1"/>
          <w:szCs w:val="20"/>
        </w:rPr>
        <w:t xml:space="preserve">tema dell’agire </w:t>
      </w:r>
      <w:r w:rsidRPr="0004482C">
        <w:rPr>
          <w:rFonts w:ascii="Times" w:hAnsi="Times" w:cstheme="minorHAnsi"/>
          <w:color w:val="000000" w:themeColor="text1"/>
          <w:szCs w:val="20"/>
        </w:rPr>
        <w:t xml:space="preserve">come fonte di relazioni autentiche e occasione di costruzione personale. Attraverso la lettura e il commento di alcuni </w:t>
      </w:r>
      <w:r w:rsidRPr="0004482C">
        <w:rPr>
          <w:rFonts w:ascii="Times" w:hAnsi="Times" w:cstheme="minorHAnsi"/>
          <w:color w:val="000000" w:themeColor="text1"/>
          <w:szCs w:val="20"/>
        </w:rPr>
        <w:lastRenderedPageBreak/>
        <w:t xml:space="preserve">testi di Hannah Arendt – annoverati tra i grandi classici della filosofia del Novecento - si prenderanno in esame le esperienze fondamentali dell’umano legate alla forza e all’imprevedibilità dell’azione quali: il </w:t>
      </w:r>
      <w:r w:rsidRPr="0004482C">
        <w:rPr>
          <w:rFonts w:ascii="Times" w:hAnsi="Times" w:cstheme="minorHAnsi"/>
          <w:i/>
          <w:color w:val="000000" w:themeColor="text1"/>
          <w:szCs w:val="20"/>
        </w:rPr>
        <w:t>pensare da sé</w:t>
      </w:r>
      <w:r w:rsidRPr="0004482C">
        <w:rPr>
          <w:rFonts w:ascii="Times" w:hAnsi="Times" w:cstheme="minorHAnsi"/>
          <w:color w:val="000000" w:themeColor="text1"/>
          <w:szCs w:val="20"/>
        </w:rPr>
        <w:t xml:space="preserve"> e liberamente; la disobbedienza come antidoto all’obbedienza cieca e acritica; l’amore disinteressato per gli altri; la promessa e il perdono. Al contempo, si affronterà in particolare la questione del male e della violenza, come declinazione di un agire che – in termini morali – ci interroga, ancora oggi, sul compito politico della responsabilità. </w:t>
      </w:r>
      <w:r w:rsidR="007C3025">
        <w:rPr>
          <w:rFonts w:ascii="Times" w:hAnsi="Times" w:cstheme="minorHAnsi"/>
          <w:color w:val="000000" w:themeColor="text1"/>
          <w:szCs w:val="20"/>
        </w:rPr>
        <w:t xml:space="preserve"> In questo senso si cercherà di indagare la prospettiva ‘pedagogica’ della filosofa ebrea-tedesca. </w:t>
      </w:r>
      <w:r w:rsidRPr="0004482C">
        <w:rPr>
          <w:rFonts w:ascii="Times" w:hAnsi="Times" w:cstheme="minorHAnsi"/>
          <w:color w:val="000000" w:themeColor="text1"/>
          <w:szCs w:val="20"/>
        </w:rPr>
        <w:t xml:space="preserve">Il tema arendtiano del </w:t>
      </w:r>
      <w:r w:rsidRPr="0004482C">
        <w:rPr>
          <w:rFonts w:ascii="Times" w:hAnsi="Times" w:cstheme="minorHAnsi"/>
          <w:i/>
          <w:color w:val="000000" w:themeColor="text1"/>
          <w:szCs w:val="20"/>
        </w:rPr>
        <w:t xml:space="preserve">natality </w:t>
      </w:r>
      <w:r w:rsidRPr="0004482C">
        <w:rPr>
          <w:rFonts w:ascii="Times" w:hAnsi="Times" w:cstheme="minorHAnsi"/>
          <w:color w:val="000000" w:themeColor="text1"/>
          <w:szCs w:val="20"/>
        </w:rPr>
        <w:t xml:space="preserve">e del </w:t>
      </w:r>
      <w:r w:rsidRPr="0004482C">
        <w:rPr>
          <w:rFonts w:ascii="Times" w:hAnsi="Times" w:cstheme="minorHAnsi"/>
          <w:i/>
          <w:color w:val="000000" w:themeColor="text1"/>
          <w:szCs w:val="20"/>
        </w:rPr>
        <w:t>venire al mondo</w:t>
      </w:r>
      <w:r w:rsidRPr="0004482C">
        <w:rPr>
          <w:rFonts w:ascii="Times" w:hAnsi="Times" w:cstheme="minorHAnsi"/>
          <w:color w:val="000000" w:themeColor="text1"/>
          <w:szCs w:val="20"/>
        </w:rPr>
        <w:t>, che farà da filo rosso del corso, fornirà inoltre l’occasione per riflettere sulla questione dell’identità e del posizionamento di un</w:t>
      </w:r>
      <w:r w:rsidRPr="0004482C">
        <w:rPr>
          <w:rFonts w:ascii="Times" w:hAnsi="Times" w:cstheme="minorHAnsi"/>
          <w:i/>
          <w:color w:val="000000" w:themeColor="text1"/>
          <w:szCs w:val="20"/>
        </w:rPr>
        <w:t xml:space="preserve"> Chi </w:t>
      </w:r>
      <w:r w:rsidRPr="0004482C">
        <w:rPr>
          <w:rFonts w:ascii="Times" w:hAnsi="Times" w:cstheme="minorHAnsi"/>
          <w:color w:val="000000" w:themeColor="text1"/>
          <w:szCs w:val="20"/>
        </w:rPr>
        <w:t xml:space="preserve">che nasce nello spazio pubblico della polis, ma anche sul contributo del genio femminile di Arendt alla filosofia. </w:t>
      </w:r>
    </w:p>
    <w:p w14:paraId="101B3942" w14:textId="77777777" w:rsidR="00BB073D" w:rsidRDefault="00BB073D" w:rsidP="00031B46">
      <w:pPr>
        <w:spacing w:line="240" w:lineRule="auto"/>
        <w:contextualSpacing/>
        <w:rPr>
          <w:rFonts w:ascii="Times" w:hAnsi="Times" w:cstheme="minorHAnsi"/>
          <w:color w:val="000000" w:themeColor="text1"/>
          <w:szCs w:val="20"/>
        </w:rPr>
      </w:pPr>
    </w:p>
    <w:p w14:paraId="2601F58A" w14:textId="0CD1D9D8" w:rsidR="00EF1487" w:rsidRPr="00031B46" w:rsidRDefault="00EF1487" w:rsidP="00031B46">
      <w:pPr>
        <w:spacing w:before="240" w:after="120" w:line="240" w:lineRule="exact"/>
        <w:contextualSpacing/>
        <w:rPr>
          <w:rFonts w:ascii="Times" w:hAnsi="Times" w:cstheme="minorHAnsi"/>
          <w:color w:val="000000" w:themeColor="text1"/>
          <w:szCs w:val="20"/>
        </w:rPr>
      </w:pPr>
      <w:r w:rsidRPr="004B452F">
        <w:rPr>
          <w:b/>
          <w:i/>
          <w:color w:val="000000" w:themeColor="text1"/>
          <w:szCs w:val="20"/>
        </w:rPr>
        <w:t>BIBLIOGRAFIA</w:t>
      </w:r>
      <w:r w:rsidR="000F230E">
        <w:rPr>
          <w:rStyle w:val="Rimandonotaapidipagina"/>
          <w:b/>
          <w:i/>
          <w:color w:val="000000" w:themeColor="text1"/>
          <w:szCs w:val="20"/>
        </w:rPr>
        <w:footnoteReference w:id="1"/>
      </w:r>
    </w:p>
    <w:p w14:paraId="3435848D" w14:textId="58EC2E00" w:rsidR="003B3443" w:rsidRPr="00BB073D" w:rsidRDefault="003B3443" w:rsidP="00BB073D">
      <w:pPr>
        <w:pStyle w:val="Testo1"/>
        <w:spacing w:before="0"/>
      </w:pPr>
      <w:r w:rsidRPr="00BB073D">
        <w:t>A. Papa, Nati per incominciare, Vita e Pensiero, Milano, 2011 (esclusi i capitoli secondo, terzo e ottavo).</w:t>
      </w:r>
      <w:r w:rsidR="008550F5" w:rsidRPr="00BB073D">
        <w:t xml:space="preserve"> </w:t>
      </w:r>
      <w:hyperlink r:id="rId9" w:history="1">
        <w:r w:rsidR="000F230E" w:rsidRPr="000F230E">
          <w:rPr>
            <w:rStyle w:val="Collegamentoipertestuale"/>
            <w:rFonts w:ascii="Times New Roman" w:hAnsi="Times New Roman"/>
            <w:i/>
            <w:sz w:val="16"/>
            <w:szCs w:val="16"/>
          </w:rPr>
          <w:t>Acquista da VP</w:t>
        </w:r>
      </w:hyperlink>
    </w:p>
    <w:p w14:paraId="042AF1C3" w14:textId="1ADD8E2B" w:rsidR="003B3443" w:rsidRPr="00BB073D" w:rsidRDefault="003B3443" w:rsidP="00BB073D">
      <w:pPr>
        <w:pStyle w:val="Testo1"/>
        <w:spacing w:before="0"/>
        <w:rPr>
          <w:rStyle w:val="Collegamentoipertestuale"/>
          <w:color w:val="auto"/>
          <w:u w:val="none"/>
        </w:rPr>
      </w:pPr>
      <w:r w:rsidRPr="00BB073D">
        <w:t>H. Arendt, La banalità del male. Eichmann a Gerusalemme,</w:t>
      </w:r>
      <w:r w:rsidR="00B612C5" w:rsidRPr="00BB073D">
        <w:t xml:space="preserve"> </w:t>
      </w:r>
      <w:r w:rsidR="00A248AC" w:rsidRPr="00BB073D">
        <w:t xml:space="preserve">trad. it., </w:t>
      </w:r>
      <w:r w:rsidR="00B612C5" w:rsidRPr="00BB073D">
        <w:t>Feltrinelli, Milano 2019</w:t>
      </w:r>
      <w:r w:rsidRPr="00BB073D">
        <w:t xml:space="preserve"> (o qualsiasi altra edizione, anche in formato Kindle, purché integrale).</w:t>
      </w:r>
      <w:r w:rsidR="008550F5" w:rsidRPr="00BB073D">
        <w:t xml:space="preserve"> </w:t>
      </w:r>
      <w:hyperlink r:id="rId10" w:history="1">
        <w:r w:rsidR="000F230E" w:rsidRPr="000F230E">
          <w:rPr>
            <w:rStyle w:val="Collegamentoipertestuale"/>
            <w:rFonts w:ascii="Times New Roman" w:hAnsi="Times New Roman"/>
            <w:i/>
            <w:sz w:val="16"/>
            <w:szCs w:val="16"/>
          </w:rPr>
          <w:t>Acquista da VP</w:t>
        </w:r>
      </w:hyperlink>
    </w:p>
    <w:p w14:paraId="698DC4EC" w14:textId="15159DE5" w:rsidR="00B612C5" w:rsidRPr="00BB073D" w:rsidRDefault="00B612C5" w:rsidP="00BB073D">
      <w:pPr>
        <w:pStyle w:val="Testo1"/>
        <w:spacing w:before="0"/>
        <w:rPr>
          <w:rStyle w:val="Collegamentoipertestuale"/>
          <w:color w:val="auto"/>
          <w:u w:val="none"/>
        </w:rPr>
      </w:pPr>
      <w:r w:rsidRPr="00BB073D">
        <w:t xml:space="preserve">H. ARENDT, La crisi dell’istruzione, pp. 228-255, in ID., Tra passato e futuro, trad. it.,  Garzanti, Milano 2017, </w:t>
      </w:r>
      <w:r w:rsidR="00172579" w:rsidRPr="00BB073D">
        <w:t xml:space="preserve"> </w:t>
      </w:r>
      <w:r w:rsidRPr="00BB073D">
        <w:t xml:space="preserve">(o qualsiasi altra edizione, anche in formato Kindle, purché integrale). </w:t>
      </w:r>
      <w:hyperlink r:id="rId11" w:history="1">
        <w:r w:rsidR="000F230E" w:rsidRPr="000F230E">
          <w:rPr>
            <w:rStyle w:val="Collegamentoipertestuale"/>
            <w:rFonts w:ascii="Times New Roman" w:hAnsi="Times New Roman"/>
            <w:i/>
            <w:sz w:val="16"/>
            <w:szCs w:val="16"/>
          </w:rPr>
          <w:t>Acquista da VP</w:t>
        </w:r>
      </w:hyperlink>
      <w:bookmarkStart w:id="0" w:name="_GoBack"/>
      <w:bookmarkEnd w:id="0"/>
    </w:p>
    <w:p w14:paraId="7CDFF47F" w14:textId="13C94396" w:rsidR="000F6442" w:rsidRPr="00BB073D" w:rsidRDefault="000F6442" w:rsidP="00BB073D">
      <w:pPr>
        <w:pStyle w:val="Testo1"/>
      </w:pPr>
      <w:r w:rsidRPr="00BB073D">
        <w:t>Inoltre il materiale didattico utilizzato a lezione - caricato su Blackboard durante lo svolgimento del corso - è parte integrante del programma d’esame.</w:t>
      </w:r>
    </w:p>
    <w:p w14:paraId="263213FE" w14:textId="77777777" w:rsidR="00EF1487" w:rsidRPr="004B452F" w:rsidRDefault="00EF1487" w:rsidP="00D531B0">
      <w:pPr>
        <w:spacing w:before="240" w:after="120" w:line="240" w:lineRule="auto"/>
        <w:rPr>
          <w:b/>
          <w:i/>
          <w:color w:val="000000" w:themeColor="text1"/>
          <w:szCs w:val="20"/>
        </w:rPr>
      </w:pPr>
      <w:r w:rsidRPr="004B452F">
        <w:rPr>
          <w:b/>
          <w:i/>
          <w:color w:val="000000" w:themeColor="text1"/>
          <w:szCs w:val="20"/>
        </w:rPr>
        <w:t>DIDATTICA DEL CORSO</w:t>
      </w:r>
    </w:p>
    <w:p w14:paraId="6A35B935" w14:textId="02253808" w:rsidR="000D3BA9" w:rsidRPr="00BB073D" w:rsidRDefault="00031B46" w:rsidP="00BB073D">
      <w:pPr>
        <w:pStyle w:val="Testo2"/>
      </w:pPr>
      <w:r w:rsidRPr="00BB073D">
        <w:t>Lezioni in aula. Tre ore settimanali.</w:t>
      </w:r>
      <w:r w:rsidR="00A9022C" w:rsidRPr="00BB073D">
        <w:t xml:space="preserve"> Didattica frontale. Utilizzo di strumenti audiovisivi.</w:t>
      </w:r>
    </w:p>
    <w:p w14:paraId="2A0F2077" w14:textId="77777777" w:rsidR="0041315F" w:rsidRPr="004B452F" w:rsidRDefault="0041315F" w:rsidP="00D531B0">
      <w:pPr>
        <w:spacing w:before="240" w:after="120" w:line="240" w:lineRule="auto"/>
        <w:rPr>
          <w:b/>
          <w:i/>
          <w:color w:val="000000" w:themeColor="text1"/>
          <w:szCs w:val="20"/>
        </w:rPr>
      </w:pPr>
      <w:r w:rsidRPr="004B452F">
        <w:rPr>
          <w:b/>
          <w:i/>
          <w:color w:val="000000" w:themeColor="text1"/>
          <w:szCs w:val="20"/>
        </w:rPr>
        <w:t xml:space="preserve">METODO </w:t>
      </w:r>
      <w:r w:rsidR="00ED1A14">
        <w:rPr>
          <w:b/>
          <w:i/>
          <w:color w:val="000000" w:themeColor="text1"/>
          <w:szCs w:val="20"/>
        </w:rPr>
        <w:t xml:space="preserve">E CRITERI </w:t>
      </w:r>
      <w:r w:rsidRPr="004B452F">
        <w:rPr>
          <w:b/>
          <w:i/>
          <w:color w:val="000000" w:themeColor="text1"/>
          <w:szCs w:val="20"/>
        </w:rPr>
        <w:t>DI VALUTAZIONE</w:t>
      </w:r>
    </w:p>
    <w:p w14:paraId="215D3286" w14:textId="77777777" w:rsidR="00031B46" w:rsidRPr="00BB073D" w:rsidRDefault="00031B46" w:rsidP="00BB073D">
      <w:pPr>
        <w:pStyle w:val="Testo2"/>
      </w:pPr>
      <w:r w:rsidRPr="00BB073D">
        <w:t>Il corso prevede una verifica finale orale volta a verificare la conoscenza dei testi e temi discussi a lezione. Nello specifico l’esame consiste in un colloquio durante il quale gli Studenti dovranno, anzitutto, dimostrare di conoscere  i concetti chiave degli autori trattati durante il corso, dando prova, però, al contempo, di sapersi orientare tra i temi e le questioni di fondo oggetto di discussione durante le lezioni condotte in aula.</w:t>
      </w:r>
    </w:p>
    <w:p w14:paraId="0F68087D" w14:textId="77777777" w:rsidR="00031B46" w:rsidRPr="00BB073D" w:rsidRDefault="00031B46" w:rsidP="00BB073D">
      <w:pPr>
        <w:pStyle w:val="Testo2"/>
      </w:pPr>
      <w:r w:rsidRPr="00BB073D">
        <w:t>In sintesi, rispetto ai contenuti di programma e ai testi in uso, il colloquio sarà teso ad accertare:</w:t>
      </w:r>
    </w:p>
    <w:p w14:paraId="251A53AA" w14:textId="77777777" w:rsidR="00031B46" w:rsidRPr="00BB073D" w:rsidRDefault="00031B46" w:rsidP="00BB073D">
      <w:pPr>
        <w:pStyle w:val="Testo2"/>
      </w:pPr>
      <w:r w:rsidRPr="00BB073D">
        <w:t>–</w:t>
      </w:r>
      <w:r w:rsidRPr="00BB073D">
        <w:tab/>
        <w:t>La conoscenza sicura dei contenuti fondamentali della disciplina, appresi attraverso lo studio dei testi in bibliografia;</w:t>
      </w:r>
    </w:p>
    <w:p w14:paraId="7E0879B2" w14:textId="77777777" w:rsidR="000F6442" w:rsidRPr="00BB073D" w:rsidRDefault="00031B46" w:rsidP="00BB073D">
      <w:pPr>
        <w:pStyle w:val="Testo2"/>
      </w:pPr>
      <w:r w:rsidRPr="00BB073D">
        <w:lastRenderedPageBreak/>
        <w:t>La capacità di rielaborazione critica dei contenuti e di individuazione di nessi logici fra i diversi temi/problemi;</w:t>
      </w:r>
    </w:p>
    <w:p w14:paraId="263192CF" w14:textId="77777777" w:rsidR="000F6442" w:rsidRPr="00BB073D" w:rsidRDefault="00031B46" w:rsidP="00BB073D">
      <w:pPr>
        <w:pStyle w:val="Testo2"/>
      </w:pPr>
      <w:r w:rsidRPr="00BB073D">
        <w:t>Correttezza ed efficacia espositiva;</w:t>
      </w:r>
    </w:p>
    <w:p w14:paraId="56D9CD77" w14:textId="77777777" w:rsidR="00031B46" w:rsidRPr="00BB073D" w:rsidRDefault="00031B46" w:rsidP="00BB073D">
      <w:pPr>
        <w:pStyle w:val="Testo2"/>
      </w:pPr>
      <w:r w:rsidRPr="00BB073D">
        <w:t>Uso appropriato del lessico filosofico e avvicinamento a testi avanzati.</w:t>
      </w:r>
    </w:p>
    <w:p w14:paraId="7CAC25E5" w14:textId="77777777" w:rsidR="00031B46" w:rsidRPr="00BB073D" w:rsidRDefault="00031B46" w:rsidP="00BB073D">
      <w:pPr>
        <w:pStyle w:val="Testo2"/>
      </w:pPr>
      <w:r w:rsidRPr="00BB073D">
        <w:t>Il voto finale terrà conto della correttezza e della qualità delle risposte, nonché dell’abilità comunicativa mostrata dallo studente durante il colloquio.</w:t>
      </w:r>
    </w:p>
    <w:p w14:paraId="7336AFF5" w14:textId="77777777" w:rsidR="00031B46" w:rsidRPr="00BB073D" w:rsidRDefault="00031B46" w:rsidP="00BB073D">
      <w:pPr>
        <w:pStyle w:val="Testo2"/>
      </w:pPr>
      <w:r w:rsidRPr="00BB073D">
        <w:t>Ai fini della valutazione concorreranno, dunque, la pertinenza delle risposte, l’uso appropriato della terminologia specifica, la strutturazione argomentata e coerente del discorso, la capacità di individuare nessi concettuali e questioni aperte.</w:t>
      </w:r>
    </w:p>
    <w:p w14:paraId="14094E41" w14:textId="77777777" w:rsidR="00031B46" w:rsidRPr="00BB073D" w:rsidRDefault="00031B46" w:rsidP="00BB073D">
      <w:pPr>
        <w:pStyle w:val="Testo2"/>
      </w:pPr>
      <w:r w:rsidRPr="00BB073D">
        <w:t>La valutazione sarà espressa in trentesimi:</w:t>
      </w:r>
    </w:p>
    <w:p w14:paraId="440BDE04" w14:textId="77777777" w:rsidR="00031B46" w:rsidRPr="00BB073D" w:rsidRDefault="00031B46" w:rsidP="00BB073D">
      <w:pPr>
        <w:pStyle w:val="Testo2"/>
      </w:pPr>
      <w:r w:rsidRPr="00BB073D">
        <w:t>30 e lode: eccellente, conoscenze solide, eccellenti capacità espressive, completa comprensione di concetti e argomenti.</w:t>
      </w:r>
      <w:r w:rsidRPr="00BB073D">
        <w:br/>
        <w:t>30: molto buono, conoscenze complete e adeguate, capacità di espressione corretta e bene articolata.</w:t>
      </w:r>
    </w:p>
    <w:p w14:paraId="43077C1F" w14:textId="77777777" w:rsidR="00202D8B" w:rsidRPr="00BB073D" w:rsidRDefault="00031B46" w:rsidP="00BB073D">
      <w:pPr>
        <w:pStyle w:val="Testo2"/>
      </w:pPr>
      <w:r w:rsidRPr="00BB073D">
        <w:t>27-29: buono, conoscenza soddisfacente, capacità di espre</w:t>
      </w:r>
      <w:r w:rsidR="00202D8B" w:rsidRPr="00BB073D">
        <w:t>ssione essenzialmente corretta.</w:t>
      </w:r>
    </w:p>
    <w:p w14:paraId="0C34AAA0" w14:textId="77777777" w:rsidR="00202D8B" w:rsidRPr="00BB073D" w:rsidRDefault="00031B46" w:rsidP="00BB073D">
      <w:pPr>
        <w:pStyle w:val="Testo2"/>
      </w:pPr>
      <w:r w:rsidRPr="00BB073D">
        <w:t xml:space="preserve">24-26: conoscenza abbastanza buona, ma non </w:t>
      </w:r>
      <w:r w:rsidR="00202D8B" w:rsidRPr="00BB073D">
        <w:t>completa e non sempre corretta.</w:t>
      </w:r>
    </w:p>
    <w:p w14:paraId="29FB7F62" w14:textId="77777777" w:rsidR="00202D8B" w:rsidRPr="00BB073D" w:rsidRDefault="00031B46" w:rsidP="00BB073D">
      <w:pPr>
        <w:pStyle w:val="Testo2"/>
      </w:pPr>
      <w:r w:rsidRPr="00BB073D">
        <w:t>21-23: conoscenza generalmente buona ma superficiale. Espr</w:t>
      </w:r>
      <w:r w:rsidR="00202D8B" w:rsidRPr="00BB073D">
        <w:t>essione spesso non appropriata.</w:t>
      </w:r>
    </w:p>
    <w:p w14:paraId="16512775" w14:textId="6F4B5B90" w:rsidR="00031B46" w:rsidRPr="00385465" w:rsidRDefault="00031B46" w:rsidP="00BB073D">
      <w:pPr>
        <w:pStyle w:val="Testo2"/>
      </w:pPr>
      <w:r w:rsidRPr="00BB073D">
        <w:t>18-21:sufficiente.</w:t>
      </w:r>
    </w:p>
    <w:p w14:paraId="42636B7A" w14:textId="77777777" w:rsidR="0041315F" w:rsidRPr="004B452F" w:rsidRDefault="0041315F" w:rsidP="00D531B0">
      <w:pPr>
        <w:spacing w:before="240" w:after="120" w:line="240" w:lineRule="auto"/>
        <w:rPr>
          <w:b/>
          <w:i/>
          <w:color w:val="000000" w:themeColor="text1"/>
          <w:szCs w:val="20"/>
        </w:rPr>
      </w:pPr>
      <w:r w:rsidRPr="004B452F">
        <w:rPr>
          <w:b/>
          <w:i/>
          <w:color w:val="000000" w:themeColor="text1"/>
          <w:szCs w:val="20"/>
        </w:rPr>
        <w:t>AVVERTENZE E PREREQUISITI</w:t>
      </w:r>
    </w:p>
    <w:p w14:paraId="7B1EF518" w14:textId="77777777" w:rsidR="00031B46" w:rsidRPr="00BB073D" w:rsidRDefault="00031B46" w:rsidP="00BB073D">
      <w:pPr>
        <w:pStyle w:val="Testo2"/>
        <w:rPr>
          <w:i/>
        </w:rPr>
      </w:pPr>
      <w:r w:rsidRPr="00BB073D">
        <w:rPr>
          <w:i/>
        </w:rPr>
        <w:t xml:space="preserve">Si avvertono, inoltre, gli Studenti che l’insegnamento, avendo carattere introduttivo, non necessita di prerequisiti relativi ai contenuti. </w:t>
      </w:r>
    </w:p>
    <w:p w14:paraId="6DAD8863" w14:textId="77777777" w:rsidR="0041315F" w:rsidRPr="001F4611" w:rsidRDefault="00031B46" w:rsidP="00BB073D">
      <w:pPr>
        <w:pStyle w:val="Testo2"/>
      </w:pPr>
      <w:r w:rsidRPr="001F4611">
        <w:t xml:space="preserve">Si presuppone, a ogni modo, interesse e curiosità intellettuale per la riflessione filosofica. Si consiglia, eventualmente, l’uso di un manuale di storia della filosofia per approfondire autonomamente i riferimenti agli autori trattati a lezione. </w:t>
      </w:r>
    </w:p>
    <w:p w14:paraId="355622BF" w14:textId="77777777" w:rsidR="004B452F" w:rsidRPr="001F4611" w:rsidRDefault="004B452F" w:rsidP="00BB073D">
      <w:pPr>
        <w:pStyle w:val="Testo2"/>
      </w:pPr>
      <w:r w:rsidRPr="001F4611">
        <w:t>Nel caso in cui la situazione sanitaria relativa alla pandemia di Covid-19 non dovesse consentire la didattica in presenza, sarà garantita l’erogazione a distanza dell’insegnamento con modalità che verranno comunicate in tempo utile agli studenti.</w:t>
      </w:r>
    </w:p>
    <w:p w14:paraId="447FB8B4" w14:textId="77777777" w:rsidR="00A875B3" w:rsidRPr="00BB073D" w:rsidRDefault="004B452F" w:rsidP="00BB073D">
      <w:pPr>
        <w:pStyle w:val="Testo2"/>
        <w:spacing w:before="120"/>
        <w:rPr>
          <w:i/>
          <w:color w:val="000000" w:themeColor="text1"/>
        </w:rPr>
      </w:pPr>
      <w:r w:rsidRPr="00BB073D">
        <w:rPr>
          <w:i/>
          <w:color w:val="000000" w:themeColor="text1"/>
        </w:rPr>
        <w:t>Orario e luogo di ricevimento</w:t>
      </w:r>
    </w:p>
    <w:p w14:paraId="72DD9785" w14:textId="0048FE12" w:rsidR="00A875B3" w:rsidRPr="001F4611" w:rsidRDefault="001F4611" w:rsidP="00BB073D">
      <w:pPr>
        <w:pStyle w:val="Testo2"/>
      </w:pPr>
      <w:r>
        <w:t xml:space="preserve">La </w:t>
      </w:r>
      <w:r w:rsidR="004B452F" w:rsidRPr="001F4611">
        <w:t>Prof.</w:t>
      </w:r>
      <w:r>
        <w:t>ssa</w:t>
      </w:r>
      <w:r w:rsidR="00A875B3" w:rsidRPr="001F4611">
        <w:t xml:space="preserve"> Alessandra Papa riceve gli </w:t>
      </w:r>
      <w:r w:rsidR="00AD591E" w:rsidRPr="001F4611">
        <w:t>S</w:t>
      </w:r>
      <w:r w:rsidR="00A875B3" w:rsidRPr="001F4611">
        <w:t xml:space="preserve">tudenti tutti i lunedì dalle ore 15,00 presso il Dipartimento di Filosofia, oppure su appuntamento previo contatto e-mail: alessandra.papa@unicatt.it. </w:t>
      </w:r>
    </w:p>
    <w:sectPr w:rsidR="00A875B3" w:rsidRPr="001F4611" w:rsidSect="00D531B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20A73" w14:textId="77777777" w:rsidR="003A376A" w:rsidRDefault="003A376A" w:rsidP="00875BBA">
      <w:pPr>
        <w:spacing w:line="240" w:lineRule="auto"/>
      </w:pPr>
      <w:r>
        <w:separator/>
      </w:r>
    </w:p>
  </w:endnote>
  <w:endnote w:type="continuationSeparator" w:id="0">
    <w:p w14:paraId="2F55FE44" w14:textId="77777777" w:rsidR="003A376A" w:rsidRDefault="003A376A" w:rsidP="00875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264C" w14:textId="77777777" w:rsidR="003A376A" w:rsidRDefault="003A376A" w:rsidP="00875BBA">
      <w:pPr>
        <w:spacing w:line="240" w:lineRule="auto"/>
      </w:pPr>
      <w:r>
        <w:separator/>
      </w:r>
    </w:p>
  </w:footnote>
  <w:footnote w:type="continuationSeparator" w:id="0">
    <w:p w14:paraId="7DAA626E" w14:textId="77777777" w:rsidR="003A376A" w:rsidRDefault="003A376A" w:rsidP="00875BBA">
      <w:pPr>
        <w:spacing w:line="240" w:lineRule="auto"/>
      </w:pPr>
      <w:r>
        <w:continuationSeparator/>
      </w:r>
    </w:p>
  </w:footnote>
  <w:footnote w:id="1">
    <w:p w14:paraId="699EDC27" w14:textId="16C11323" w:rsidR="000F230E" w:rsidRDefault="000F230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F8B"/>
    <w:multiLevelType w:val="hybridMultilevel"/>
    <w:tmpl w:val="F59AB7EE"/>
    <w:lvl w:ilvl="0" w:tplc="817CE5F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1914E3"/>
    <w:multiLevelType w:val="hybridMultilevel"/>
    <w:tmpl w:val="0F4C464E"/>
    <w:lvl w:ilvl="0" w:tplc="DE1A421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467065"/>
    <w:multiLevelType w:val="hybridMultilevel"/>
    <w:tmpl w:val="C2664A1E"/>
    <w:lvl w:ilvl="0" w:tplc="D2E65AF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A37793"/>
    <w:multiLevelType w:val="hybridMultilevel"/>
    <w:tmpl w:val="27F40A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63235D"/>
    <w:multiLevelType w:val="hybridMultilevel"/>
    <w:tmpl w:val="9AB2257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0044DAF"/>
    <w:multiLevelType w:val="hybridMultilevel"/>
    <w:tmpl w:val="8618DCBC"/>
    <w:lvl w:ilvl="0" w:tplc="B1188352">
      <w:numFmt w:val="bullet"/>
      <w:lvlText w:val="–"/>
      <w:lvlJc w:val="left"/>
      <w:pPr>
        <w:ind w:left="786" w:hanging="360"/>
      </w:pPr>
      <w:rPr>
        <w:rFonts w:ascii="Times New Roman" w:eastAsia="Arial Unicode MS"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31F678B9"/>
    <w:multiLevelType w:val="hybridMultilevel"/>
    <w:tmpl w:val="18608440"/>
    <w:lvl w:ilvl="0" w:tplc="6554C0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4C5770F2"/>
    <w:multiLevelType w:val="hybridMultilevel"/>
    <w:tmpl w:val="9B6AC0AA"/>
    <w:styleLink w:val="Puntielenco1"/>
    <w:lvl w:ilvl="0" w:tplc="B6AA260A">
      <w:start w:val="1"/>
      <w:numFmt w:val="bullet"/>
      <w:lvlText w:val="-"/>
      <w:lvlJc w:val="left"/>
      <w:pPr>
        <w:tabs>
          <w:tab w:val="num"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B687C66">
      <w:start w:val="1"/>
      <w:numFmt w:val="bullet"/>
      <w:lvlText w:val="-"/>
      <w:lvlJc w:val="left"/>
      <w:pPr>
        <w:tabs>
          <w:tab w:val="num" w:pos="742"/>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6DC9A4E">
      <w:start w:val="1"/>
      <w:numFmt w:val="bullet"/>
      <w:lvlText w:val="-"/>
      <w:lvlJc w:val="left"/>
      <w:pPr>
        <w:tabs>
          <w:tab w:val="num" w:pos="1342"/>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27A8BDE">
      <w:start w:val="1"/>
      <w:numFmt w:val="bullet"/>
      <w:lvlText w:val="-"/>
      <w:lvlJc w:val="left"/>
      <w:pPr>
        <w:tabs>
          <w:tab w:val="num" w:pos="1942"/>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274EF0A">
      <w:start w:val="1"/>
      <w:numFmt w:val="bullet"/>
      <w:lvlText w:val="-"/>
      <w:lvlJc w:val="left"/>
      <w:pPr>
        <w:tabs>
          <w:tab w:val="num" w:pos="2542"/>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1E4C02E">
      <w:start w:val="1"/>
      <w:numFmt w:val="bullet"/>
      <w:lvlText w:val="-"/>
      <w:lvlJc w:val="left"/>
      <w:pPr>
        <w:tabs>
          <w:tab w:val="num" w:pos="3142"/>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A2887FA">
      <w:start w:val="1"/>
      <w:numFmt w:val="bullet"/>
      <w:lvlText w:val="-"/>
      <w:lvlJc w:val="left"/>
      <w:pPr>
        <w:tabs>
          <w:tab w:val="num" w:pos="3742"/>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8F485AA">
      <w:start w:val="1"/>
      <w:numFmt w:val="bullet"/>
      <w:lvlText w:val="-"/>
      <w:lvlJc w:val="left"/>
      <w:pPr>
        <w:tabs>
          <w:tab w:val="num" w:pos="4342"/>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AF85CAE">
      <w:start w:val="1"/>
      <w:numFmt w:val="bullet"/>
      <w:lvlText w:val="-"/>
      <w:lvlJc w:val="left"/>
      <w:pPr>
        <w:tabs>
          <w:tab w:val="num" w:pos="4942"/>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D6324F0"/>
    <w:multiLevelType w:val="hybridMultilevel"/>
    <w:tmpl w:val="66E24D22"/>
    <w:numStyleLink w:val="Puntielenco"/>
  </w:abstractNum>
  <w:abstractNum w:abstractNumId="9">
    <w:nsid w:val="4ED86A67"/>
    <w:multiLevelType w:val="hybridMultilevel"/>
    <w:tmpl w:val="66E24D22"/>
    <w:styleLink w:val="Puntielenco"/>
    <w:lvl w:ilvl="0" w:tplc="95741A34">
      <w:start w:val="1"/>
      <w:numFmt w:val="bullet"/>
      <w:lvlText w:val="-"/>
      <w:lvlJc w:val="left"/>
      <w:pPr>
        <w:tabs>
          <w:tab w:val="num"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7005BE4">
      <w:start w:val="1"/>
      <w:numFmt w:val="bullet"/>
      <w:lvlText w:val="-"/>
      <w:lvlJc w:val="left"/>
      <w:pPr>
        <w:tabs>
          <w:tab w:val="num" w:pos="742"/>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844A12E">
      <w:start w:val="1"/>
      <w:numFmt w:val="bullet"/>
      <w:lvlText w:val="-"/>
      <w:lvlJc w:val="left"/>
      <w:pPr>
        <w:tabs>
          <w:tab w:val="num" w:pos="1342"/>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A52D186">
      <w:start w:val="1"/>
      <w:numFmt w:val="bullet"/>
      <w:lvlText w:val="-"/>
      <w:lvlJc w:val="left"/>
      <w:pPr>
        <w:tabs>
          <w:tab w:val="num" w:pos="1942"/>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ADEE38C">
      <w:start w:val="1"/>
      <w:numFmt w:val="bullet"/>
      <w:lvlText w:val="-"/>
      <w:lvlJc w:val="left"/>
      <w:pPr>
        <w:tabs>
          <w:tab w:val="num" w:pos="2542"/>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BC1A84">
      <w:start w:val="1"/>
      <w:numFmt w:val="bullet"/>
      <w:lvlText w:val="-"/>
      <w:lvlJc w:val="left"/>
      <w:pPr>
        <w:tabs>
          <w:tab w:val="num" w:pos="3142"/>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E90A3A0">
      <w:start w:val="1"/>
      <w:numFmt w:val="bullet"/>
      <w:lvlText w:val="-"/>
      <w:lvlJc w:val="left"/>
      <w:pPr>
        <w:tabs>
          <w:tab w:val="num" w:pos="3742"/>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5ECF40">
      <w:start w:val="1"/>
      <w:numFmt w:val="bullet"/>
      <w:lvlText w:val="-"/>
      <w:lvlJc w:val="left"/>
      <w:pPr>
        <w:tabs>
          <w:tab w:val="num" w:pos="4342"/>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B54F3DA">
      <w:start w:val="1"/>
      <w:numFmt w:val="bullet"/>
      <w:lvlText w:val="-"/>
      <w:lvlJc w:val="left"/>
      <w:pPr>
        <w:tabs>
          <w:tab w:val="num" w:pos="4942"/>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4191BF8"/>
    <w:multiLevelType w:val="hybridMultilevel"/>
    <w:tmpl w:val="0CA6BF22"/>
    <w:lvl w:ilvl="0" w:tplc="99282064">
      <w:start w:val="6"/>
      <w:numFmt w:val="bullet"/>
      <w:lvlText w:val="–"/>
      <w:lvlJc w:val="left"/>
      <w:pPr>
        <w:ind w:left="1496" w:hanging="360"/>
      </w:pPr>
      <w:rPr>
        <w:rFonts w:ascii="Times" w:eastAsia="Times New Roman" w:hAnsi="Times" w:cs="Time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11">
    <w:nsid w:val="5CB12A5A"/>
    <w:multiLevelType w:val="multilevel"/>
    <w:tmpl w:val="D79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C2307"/>
    <w:multiLevelType w:val="hybridMultilevel"/>
    <w:tmpl w:val="185AB5E8"/>
    <w:lvl w:ilvl="0" w:tplc="B09A75FE">
      <w:start w:val="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6C136189"/>
    <w:multiLevelType w:val="hybridMultilevel"/>
    <w:tmpl w:val="E5801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CB78B5"/>
    <w:multiLevelType w:val="hybridMultilevel"/>
    <w:tmpl w:val="9B6AC0AA"/>
    <w:numStyleLink w:val="Puntielenco1"/>
  </w:abstractNum>
  <w:abstractNum w:abstractNumId="15">
    <w:nsid w:val="6E673644"/>
    <w:multiLevelType w:val="hybridMultilevel"/>
    <w:tmpl w:val="CBD2F38C"/>
    <w:lvl w:ilvl="0" w:tplc="01043168">
      <w:start w:val="8"/>
      <w:numFmt w:val="bullet"/>
      <w:lvlText w:val="–"/>
      <w:lvlJc w:val="left"/>
      <w:pPr>
        <w:ind w:left="844" w:hanging="5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8"/>
  </w:num>
  <w:num w:numId="6">
    <w:abstractNumId w:val="7"/>
  </w:num>
  <w:num w:numId="7">
    <w:abstractNumId w:val="14"/>
  </w:num>
  <w:num w:numId="8">
    <w:abstractNumId w:val="5"/>
  </w:num>
  <w:num w:numId="9">
    <w:abstractNumId w:val="4"/>
  </w:num>
  <w:num w:numId="10">
    <w:abstractNumId w:val="13"/>
  </w:num>
  <w:num w:numId="11">
    <w:abstractNumId w:val="1"/>
  </w:num>
  <w:num w:numId="12">
    <w:abstractNumId w:val="6"/>
  </w:num>
  <w:num w:numId="13">
    <w:abstractNumId w:val="12"/>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87"/>
    <w:rsid w:val="000060ED"/>
    <w:rsid w:val="00010526"/>
    <w:rsid w:val="00031B46"/>
    <w:rsid w:val="0009524E"/>
    <w:rsid w:val="000D3BA9"/>
    <w:rsid w:val="000D48AC"/>
    <w:rsid w:val="000D78B2"/>
    <w:rsid w:val="000F230E"/>
    <w:rsid w:val="000F6442"/>
    <w:rsid w:val="000F7341"/>
    <w:rsid w:val="00105038"/>
    <w:rsid w:val="001142B7"/>
    <w:rsid w:val="00115B31"/>
    <w:rsid w:val="00134AAA"/>
    <w:rsid w:val="00150BC5"/>
    <w:rsid w:val="00172579"/>
    <w:rsid w:val="001765FF"/>
    <w:rsid w:val="00187B99"/>
    <w:rsid w:val="00194BC5"/>
    <w:rsid w:val="001968B0"/>
    <w:rsid w:val="001A7FC0"/>
    <w:rsid w:val="001D0C0F"/>
    <w:rsid w:val="001F0374"/>
    <w:rsid w:val="001F4611"/>
    <w:rsid w:val="002014DD"/>
    <w:rsid w:val="00202D8B"/>
    <w:rsid w:val="002106A6"/>
    <w:rsid w:val="002239C0"/>
    <w:rsid w:val="00243EBE"/>
    <w:rsid w:val="00247C83"/>
    <w:rsid w:val="002502B7"/>
    <w:rsid w:val="002637D7"/>
    <w:rsid w:val="00290DCA"/>
    <w:rsid w:val="002920A7"/>
    <w:rsid w:val="0029783C"/>
    <w:rsid w:val="002A7B95"/>
    <w:rsid w:val="00312004"/>
    <w:rsid w:val="00314BD4"/>
    <w:rsid w:val="003305A2"/>
    <w:rsid w:val="00376C64"/>
    <w:rsid w:val="00385465"/>
    <w:rsid w:val="003A376A"/>
    <w:rsid w:val="003B3386"/>
    <w:rsid w:val="003B3443"/>
    <w:rsid w:val="003B7470"/>
    <w:rsid w:val="003E6FF8"/>
    <w:rsid w:val="003F63B6"/>
    <w:rsid w:val="0041315F"/>
    <w:rsid w:val="00413DAA"/>
    <w:rsid w:val="00465E7D"/>
    <w:rsid w:val="00476773"/>
    <w:rsid w:val="00494401"/>
    <w:rsid w:val="004B2D8B"/>
    <w:rsid w:val="004B452F"/>
    <w:rsid w:val="004B6682"/>
    <w:rsid w:val="004C20A3"/>
    <w:rsid w:val="004C3F58"/>
    <w:rsid w:val="004C7037"/>
    <w:rsid w:val="004D1217"/>
    <w:rsid w:val="004D6008"/>
    <w:rsid w:val="004E4773"/>
    <w:rsid w:val="00530ED5"/>
    <w:rsid w:val="005365F9"/>
    <w:rsid w:val="005367C7"/>
    <w:rsid w:val="00575ADA"/>
    <w:rsid w:val="00613344"/>
    <w:rsid w:val="0063168B"/>
    <w:rsid w:val="0063337D"/>
    <w:rsid w:val="00635397"/>
    <w:rsid w:val="00656F43"/>
    <w:rsid w:val="00667AE2"/>
    <w:rsid w:val="006B23A1"/>
    <w:rsid w:val="006C1D28"/>
    <w:rsid w:val="006E5930"/>
    <w:rsid w:val="006E5972"/>
    <w:rsid w:val="006F1772"/>
    <w:rsid w:val="00736981"/>
    <w:rsid w:val="00750E41"/>
    <w:rsid w:val="0077573D"/>
    <w:rsid w:val="007761CC"/>
    <w:rsid w:val="00784D46"/>
    <w:rsid w:val="007C3025"/>
    <w:rsid w:val="007D322E"/>
    <w:rsid w:val="007F65B5"/>
    <w:rsid w:val="0080129D"/>
    <w:rsid w:val="0081636B"/>
    <w:rsid w:val="00820095"/>
    <w:rsid w:val="008550F5"/>
    <w:rsid w:val="00855CBE"/>
    <w:rsid w:val="00875BBA"/>
    <w:rsid w:val="008862F9"/>
    <w:rsid w:val="0089230B"/>
    <w:rsid w:val="008A1204"/>
    <w:rsid w:val="008A1ACB"/>
    <w:rsid w:val="008E127E"/>
    <w:rsid w:val="008E6DE9"/>
    <w:rsid w:val="008F612C"/>
    <w:rsid w:val="00900CCA"/>
    <w:rsid w:val="0090593B"/>
    <w:rsid w:val="00923072"/>
    <w:rsid w:val="00924B77"/>
    <w:rsid w:val="00940DA2"/>
    <w:rsid w:val="00962568"/>
    <w:rsid w:val="00972AFA"/>
    <w:rsid w:val="00977AB8"/>
    <w:rsid w:val="00985453"/>
    <w:rsid w:val="009B308E"/>
    <w:rsid w:val="009D3FBA"/>
    <w:rsid w:val="009E055C"/>
    <w:rsid w:val="00A107FB"/>
    <w:rsid w:val="00A248AC"/>
    <w:rsid w:val="00A51C95"/>
    <w:rsid w:val="00A72267"/>
    <w:rsid w:val="00A74F6F"/>
    <w:rsid w:val="00A85069"/>
    <w:rsid w:val="00A875B3"/>
    <w:rsid w:val="00A9022C"/>
    <w:rsid w:val="00AC550B"/>
    <w:rsid w:val="00AD591E"/>
    <w:rsid w:val="00AD7557"/>
    <w:rsid w:val="00B2534D"/>
    <w:rsid w:val="00B51253"/>
    <w:rsid w:val="00B525CC"/>
    <w:rsid w:val="00B57BA0"/>
    <w:rsid w:val="00B612C5"/>
    <w:rsid w:val="00B973C0"/>
    <w:rsid w:val="00BA0DC2"/>
    <w:rsid w:val="00BA79B8"/>
    <w:rsid w:val="00BB073D"/>
    <w:rsid w:val="00C03DA8"/>
    <w:rsid w:val="00C07570"/>
    <w:rsid w:val="00C10644"/>
    <w:rsid w:val="00C16532"/>
    <w:rsid w:val="00C32AF7"/>
    <w:rsid w:val="00C37A61"/>
    <w:rsid w:val="00C4748C"/>
    <w:rsid w:val="00C5552F"/>
    <w:rsid w:val="00C65997"/>
    <w:rsid w:val="00C963ED"/>
    <w:rsid w:val="00CA7C63"/>
    <w:rsid w:val="00CB0A5D"/>
    <w:rsid w:val="00CB5B8E"/>
    <w:rsid w:val="00CE44A3"/>
    <w:rsid w:val="00D404F2"/>
    <w:rsid w:val="00D52F9A"/>
    <w:rsid w:val="00D531B0"/>
    <w:rsid w:val="00E1752D"/>
    <w:rsid w:val="00E41E91"/>
    <w:rsid w:val="00E607E6"/>
    <w:rsid w:val="00ED1A14"/>
    <w:rsid w:val="00EF1487"/>
    <w:rsid w:val="00F671D3"/>
    <w:rsid w:val="00FA0EAC"/>
    <w:rsid w:val="00FB7C7D"/>
    <w:rsid w:val="00FD3CF8"/>
    <w:rsid w:val="00FF261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9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875BB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75BBA"/>
    <w:rPr>
      <w:szCs w:val="24"/>
    </w:rPr>
  </w:style>
  <w:style w:type="paragraph" w:styleId="Pidipagina">
    <w:name w:val="footer"/>
    <w:basedOn w:val="Normale"/>
    <w:link w:val="PidipaginaCarattere"/>
    <w:unhideWhenUsed/>
    <w:rsid w:val="00875BB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75BBA"/>
    <w:rPr>
      <w:szCs w:val="24"/>
    </w:rPr>
  </w:style>
  <w:style w:type="paragraph" w:styleId="Paragrafoelenco">
    <w:name w:val="List Paragraph"/>
    <w:basedOn w:val="Normale"/>
    <w:uiPriority w:val="1"/>
    <w:qFormat/>
    <w:rsid w:val="00290DCA"/>
    <w:pPr>
      <w:ind w:left="720"/>
      <w:contextualSpacing/>
    </w:pPr>
  </w:style>
  <w:style w:type="numbering" w:customStyle="1" w:styleId="Puntielenco">
    <w:name w:val="Punti elenco"/>
    <w:rsid w:val="002239C0"/>
    <w:pPr>
      <w:numPr>
        <w:numId w:val="4"/>
      </w:numPr>
    </w:pPr>
  </w:style>
  <w:style w:type="numbering" w:customStyle="1" w:styleId="Puntielenco1">
    <w:name w:val="Punti elenco1"/>
    <w:rsid w:val="00820095"/>
    <w:pPr>
      <w:numPr>
        <w:numId w:val="6"/>
      </w:numPr>
    </w:pPr>
  </w:style>
  <w:style w:type="paragraph" w:styleId="Testofumetto">
    <w:name w:val="Balloon Text"/>
    <w:basedOn w:val="Normale"/>
    <w:link w:val="TestofumettoCarattere"/>
    <w:semiHidden/>
    <w:unhideWhenUsed/>
    <w:rsid w:val="004E47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E4773"/>
    <w:rPr>
      <w:rFonts w:ascii="Segoe UI" w:hAnsi="Segoe UI" w:cs="Segoe UI"/>
      <w:sz w:val="18"/>
      <w:szCs w:val="18"/>
    </w:rPr>
  </w:style>
  <w:style w:type="paragraph" w:styleId="NormaleWeb">
    <w:name w:val="Normal (Web)"/>
    <w:basedOn w:val="Normale"/>
    <w:uiPriority w:val="99"/>
    <w:unhideWhenUsed/>
    <w:rsid w:val="0077573D"/>
    <w:pPr>
      <w:tabs>
        <w:tab w:val="clear" w:pos="284"/>
      </w:tabs>
      <w:spacing w:before="100" w:beforeAutospacing="1" w:after="100" w:afterAutospacing="1" w:line="240" w:lineRule="auto"/>
      <w:jc w:val="left"/>
    </w:pPr>
    <w:rPr>
      <w:sz w:val="24"/>
      <w:lang w:eastAsia="zh-CN"/>
    </w:rPr>
  </w:style>
  <w:style w:type="paragraph" w:styleId="Testonotaapidipagina">
    <w:name w:val="footnote text"/>
    <w:basedOn w:val="Normale"/>
    <w:link w:val="TestonotaapidipaginaCarattere"/>
    <w:semiHidden/>
    <w:unhideWhenUsed/>
    <w:rsid w:val="008550F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550F5"/>
  </w:style>
  <w:style w:type="character" w:styleId="Rimandonotaapidipagina">
    <w:name w:val="footnote reference"/>
    <w:basedOn w:val="Carpredefinitoparagrafo"/>
    <w:semiHidden/>
    <w:unhideWhenUsed/>
    <w:rsid w:val="008550F5"/>
    <w:rPr>
      <w:vertAlign w:val="superscript"/>
    </w:rPr>
  </w:style>
  <w:style w:type="character" w:styleId="Collegamentoipertestuale">
    <w:name w:val="Hyperlink"/>
    <w:basedOn w:val="Carpredefinitoparagrafo"/>
    <w:unhideWhenUsed/>
    <w:rsid w:val="00855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875BB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75BBA"/>
    <w:rPr>
      <w:szCs w:val="24"/>
    </w:rPr>
  </w:style>
  <w:style w:type="paragraph" w:styleId="Pidipagina">
    <w:name w:val="footer"/>
    <w:basedOn w:val="Normale"/>
    <w:link w:val="PidipaginaCarattere"/>
    <w:unhideWhenUsed/>
    <w:rsid w:val="00875BB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75BBA"/>
    <w:rPr>
      <w:szCs w:val="24"/>
    </w:rPr>
  </w:style>
  <w:style w:type="paragraph" w:styleId="Paragrafoelenco">
    <w:name w:val="List Paragraph"/>
    <w:basedOn w:val="Normale"/>
    <w:uiPriority w:val="1"/>
    <w:qFormat/>
    <w:rsid w:val="00290DCA"/>
    <w:pPr>
      <w:ind w:left="720"/>
      <w:contextualSpacing/>
    </w:pPr>
  </w:style>
  <w:style w:type="numbering" w:customStyle="1" w:styleId="Puntielenco">
    <w:name w:val="Punti elenco"/>
    <w:rsid w:val="002239C0"/>
    <w:pPr>
      <w:numPr>
        <w:numId w:val="4"/>
      </w:numPr>
    </w:pPr>
  </w:style>
  <w:style w:type="numbering" w:customStyle="1" w:styleId="Puntielenco1">
    <w:name w:val="Punti elenco1"/>
    <w:rsid w:val="00820095"/>
    <w:pPr>
      <w:numPr>
        <w:numId w:val="6"/>
      </w:numPr>
    </w:pPr>
  </w:style>
  <w:style w:type="paragraph" w:styleId="Testofumetto">
    <w:name w:val="Balloon Text"/>
    <w:basedOn w:val="Normale"/>
    <w:link w:val="TestofumettoCarattere"/>
    <w:semiHidden/>
    <w:unhideWhenUsed/>
    <w:rsid w:val="004E47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E4773"/>
    <w:rPr>
      <w:rFonts w:ascii="Segoe UI" w:hAnsi="Segoe UI" w:cs="Segoe UI"/>
      <w:sz w:val="18"/>
      <w:szCs w:val="18"/>
    </w:rPr>
  </w:style>
  <w:style w:type="paragraph" w:styleId="NormaleWeb">
    <w:name w:val="Normal (Web)"/>
    <w:basedOn w:val="Normale"/>
    <w:uiPriority w:val="99"/>
    <w:unhideWhenUsed/>
    <w:rsid w:val="0077573D"/>
    <w:pPr>
      <w:tabs>
        <w:tab w:val="clear" w:pos="284"/>
      </w:tabs>
      <w:spacing w:before="100" w:beforeAutospacing="1" w:after="100" w:afterAutospacing="1" w:line="240" w:lineRule="auto"/>
      <w:jc w:val="left"/>
    </w:pPr>
    <w:rPr>
      <w:sz w:val="24"/>
      <w:lang w:eastAsia="zh-CN"/>
    </w:rPr>
  </w:style>
  <w:style w:type="paragraph" w:styleId="Testonotaapidipagina">
    <w:name w:val="footnote text"/>
    <w:basedOn w:val="Normale"/>
    <w:link w:val="TestonotaapidipaginaCarattere"/>
    <w:semiHidden/>
    <w:unhideWhenUsed/>
    <w:rsid w:val="008550F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550F5"/>
  </w:style>
  <w:style w:type="character" w:styleId="Rimandonotaapidipagina">
    <w:name w:val="footnote reference"/>
    <w:basedOn w:val="Carpredefinitoparagrafo"/>
    <w:semiHidden/>
    <w:unhideWhenUsed/>
    <w:rsid w:val="008550F5"/>
    <w:rPr>
      <w:vertAlign w:val="superscript"/>
    </w:rPr>
  </w:style>
  <w:style w:type="character" w:styleId="Collegamentoipertestuale">
    <w:name w:val="Hyperlink"/>
    <w:basedOn w:val="Carpredefinitoparagrafo"/>
    <w:unhideWhenUsed/>
    <w:rsid w:val="00855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29921">
      <w:bodyDiv w:val="1"/>
      <w:marLeft w:val="0"/>
      <w:marRight w:val="0"/>
      <w:marTop w:val="0"/>
      <w:marBottom w:val="0"/>
      <w:divBdr>
        <w:top w:val="none" w:sz="0" w:space="0" w:color="auto"/>
        <w:left w:val="none" w:sz="0" w:space="0" w:color="auto"/>
        <w:bottom w:val="none" w:sz="0" w:space="0" w:color="auto"/>
        <w:right w:val="none" w:sz="0" w:space="0" w:color="auto"/>
      </w:divBdr>
    </w:div>
    <w:div w:id="20851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hannah-arendt/tra-passato-e-futuro-9788811676379-255187.html" TargetMode="External"/><Relationship Id="rId5" Type="http://schemas.openxmlformats.org/officeDocument/2006/relationships/settings" Target="settings.xml"/><Relationship Id="rId10" Type="http://schemas.openxmlformats.org/officeDocument/2006/relationships/hyperlink" Target="https://librerie.unicatt.it/scheda-libro/hannah-arendt/la-banalita-del-male-eichmann-a-gerusalemme-9788807892974-675745.html" TargetMode="External"/><Relationship Id="rId4" Type="http://schemas.microsoft.com/office/2007/relationships/stylesWithEffects" Target="stylesWithEffects.xml"/><Relationship Id="rId9" Type="http://schemas.openxmlformats.org/officeDocument/2006/relationships/hyperlink" Target="https://librerie.unicatt.it/scheda-libro/alessandra-papa/nati-per-incominciare-9788834320600-1418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B9CA-F549-46A3-BAD4-A1D3C104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957</Words>
  <Characters>6206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Rolli Andrea</cp:lastModifiedBy>
  <cp:revision>4</cp:revision>
  <cp:lastPrinted>2018-05-09T08:50:00Z</cp:lastPrinted>
  <dcterms:created xsi:type="dcterms:W3CDTF">2021-05-19T06:56:00Z</dcterms:created>
  <dcterms:modified xsi:type="dcterms:W3CDTF">2021-07-21T09:13:00Z</dcterms:modified>
</cp:coreProperties>
</file>