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87386" w14:textId="77777777" w:rsidR="00731A8A" w:rsidRPr="00914A7E" w:rsidRDefault="00731A8A" w:rsidP="00731A8A">
      <w:pPr>
        <w:pStyle w:val="Titolo1"/>
      </w:pPr>
      <w:r w:rsidRPr="00914A7E">
        <w:t>Ragioneria</w:t>
      </w:r>
    </w:p>
    <w:p w14:paraId="28B4D870" w14:textId="128BA9FC" w:rsidR="00731A8A" w:rsidRPr="00731A8A" w:rsidRDefault="00731A8A" w:rsidP="00731A8A">
      <w:pPr>
        <w:pStyle w:val="Titolo2"/>
      </w:pPr>
      <w:r w:rsidRPr="00731A8A">
        <w:t>Prof. Andrea Lionzo</w:t>
      </w:r>
      <w:r w:rsidR="007948D2">
        <w:t>;</w:t>
      </w:r>
      <w:r w:rsidR="007948D2" w:rsidRPr="007948D2">
        <w:t xml:space="preserve"> </w:t>
      </w:r>
      <w:r w:rsidR="007948D2">
        <w:t xml:space="preserve">Prof. </w:t>
      </w:r>
      <w:r w:rsidR="007948D2" w:rsidRPr="00395547">
        <w:t>Velia Gabriella Cenciarelli</w:t>
      </w:r>
      <w:r w:rsidRPr="00731A8A">
        <w:t>; Prof. Roberta Cerato</w:t>
      </w:r>
      <w:r w:rsidR="00395547">
        <w:t xml:space="preserve"> </w:t>
      </w:r>
    </w:p>
    <w:p w14:paraId="3CE004CC" w14:textId="77777777" w:rsidR="002D5E17" w:rsidRDefault="00731A8A" w:rsidP="00731A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924E437" w14:textId="77777777" w:rsidR="00731A8A" w:rsidRPr="00914A7E" w:rsidRDefault="00731A8A" w:rsidP="00731A8A">
      <w:pPr>
        <w:rPr>
          <w:rFonts w:eastAsia="MS Mincho"/>
        </w:rPr>
      </w:pPr>
      <w:r w:rsidRPr="00914A7E">
        <w:rPr>
          <w:rFonts w:eastAsia="MS Mincho"/>
        </w:rPr>
        <w:t>Il corso si propone di sviluppare la conoscenza della logica di formazione del bilancio di esercizio, nella prospettiva sia della normativa civilistica e dei principi contabili italiani sia dei principi contabili internazionali. In tale contesto, l’obiettivo del corso è quello di far maturare la consapevolezza che il processo di determinazione del reddito e del capitale di bilancio implica un complesso ragionamento economico sulla gestione d’impresa, strumentale a coglierne le condizioni di equilibrio economico, finanziario e patrimoniale.</w:t>
      </w:r>
    </w:p>
    <w:p w14:paraId="17541795" w14:textId="77777777" w:rsidR="00731A8A" w:rsidRPr="00914A7E" w:rsidRDefault="00731A8A" w:rsidP="00731A8A">
      <w:pPr>
        <w:rPr>
          <w:rFonts w:eastAsia="MS Mincho"/>
        </w:rPr>
      </w:pPr>
      <w:r w:rsidRPr="00914A7E">
        <w:rPr>
          <w:rFonts w:eastAsia="MS Mincho"/>
        </w:rPr>
        <w:t>Il corso si propone altresì di far acquisire allo studente le competenze necessarie per saper autonomamente affrontare, sul piano applicativo, problemi concreti attinenti la redazione del bilancio. In tale prospettiva, i diversi argomenti in programma sono sviluppati anche presentando esercizi, casi aziendali ed esempi costruiti sulla base di situazioni reali.</w:t>
      </w:r>
    </w:p>
    <w:p w14:paraId="6B6F8EE0" w14:textId="08BBBE0C" w:rsidR="00731A8A" w:rsidRDefault="005A4BCD" w:rsidP="00731A8A">
      <w:r>
        <w:t>Al termine del</w:t>
      </w:r>
      <w:r w:rsidR="004D0F1B">
        <w:t xml:space="preserve"> corso, </w:t>
      </w:r>
      <w:r>
        <w:t>l</w:t>
      </w:r>
      <w:r w:rsidR="00731A8A">
        <w:t>o studente dovrebbe acquisi</w:t>
      </w:r>
      <w:r w:rsidR="007948D2">
        <w:t>re</w:t>
      </w:r>
      <w:r>
        <w:t xml:space="preserve"> </w:t>
      </w:r>
      <w:r w:rsidR="00731A8A">
        <w:t>adeguate conoscenze in merito a:</w:t>
      </w:r>
    </w:p>
    <w:p w14:paraId="31C92A5A" w14:textId="77777777" w:rsidR="00731A8A" w:rsidRDefault="00731A8A" w:rsidP="00731A8A">
      <w:pPr>
        <w:ind w:left="284" w:hanging="284"/>
      </w:pPr>
      <w:r>
        <w:t>–</w:t>
      </w:r>
      <w:r>
        <w:tab/>
        <w:t>la costruzione e la lettura del bilancio di esercizio redatto secondo la normativa civilistica e i principi contabili italiani;</w:t>
      </w:r>
    </w:p>
    <w:p w14:paraId="0D6A85A8" w14:textId="77777777" w:rsidR="00731A8A" w:rsidRDefault="00731A8A" w:rsidP="00731A8A">
      <w:pPr>
        <w:ind w:left="284" w:hanging="284"/>
      </w:pPr>
      <w:r>
        <w:t>–</w:t>
      </w:r>
      <w:r>
        <w:tab/>
        <w:t>la costruzione e la lettura del bilancio di esercizio redatto secondo i principi contabili internazionali;</w:t>
      </w:r>
    </w:p>
    <w:p w14:paraId="4A963208" w14:textId="77777777" w:rsidR="00731A8A" w:rsidRDefault="00731A8A" w:rsidP="00731A8A">
      <w:pPr>
        <w:ind w:left="284" w:hanging="284"/>
      </w:pPr>
      <w:r>
        <w:t>–</w:t>
      </w:r>
      <w:r>
        <w:tab/>
        <w:t>i più rilevanti giudizi di valore funzionali alla redazione del bilancio sia secondo la normativa civilistica e i principi contabili italiani sia secondo i principi contabili internazionali;</w:t>
      </w:r>
    </w:p>
    <w:p w14:paraId="7F0A38FD" w14:textId="77777777" w:rsidR="00731A8A" w:rsidRDefault="00731A8A" w:rsidP="00731A8A">
      <w:pPr>
        <w:ind w:left="284" w:hanging="284"/>
      </w:pPr>
      <w:r>
        <w:t>–</w:t>
      </w:r>
      <w:r>
        <w:tab/>
        <w:t>i principali profili fiscali connessi alla costruzione del bilancio di esercizio;</w:t>
      </w:r>
    </w:p>
    <w:p w14:paraId="46394B2E" w14:textId="77777777" w:rsidR="00731A8A" w:rsidRDefault="00731A8A" w:rsidP="00731A8A">
      <w:pPr>
        <w:ind w:left="284" w:hanging="284"/>
      </w:pPr>
      <w:r>
        <w:t>–</w:t>
      </w:r>
      <w:r>
        <w:tab/>
        <w:t>i fondamenti essenziali del bilancio consolidato di gruppo.</w:t>
      </w:r>
    </w:p>
    <w:p w14:paraId="1F05F490" w14:textId="77777777" w:rsidR="00731A8A" w:rsidRDefault="00731A8A" w:rsidP="00731A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283EB6A" w14:textId="7DF311A5" w:rsidR="00731A8A" w:rsidRPr="007948D2" w:rsidRDefault="00731A8A" w:rsidP="004349E6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 w:rsidRPr="004349E6">
        <w:rPr>
          <w:rFonts w:eastAsia="MS Mincho"/>
          <w:i/>
        </w:rPr>
        <w:t>Teoria generale del bilancio esercizio.</w:t>
      </w:r>
    </w:p>
    <w:p w14:paraId="59EB16B3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Il modello economico-finanziario di bilancio.</w:t>
      </w:r>
    </w:p>
    <w:p w14:paraId="2AD2BF06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Il reddito di esercizio e il capitale di funzionamento.</w:t>
      </w:r>
    </w:p>
    <w:p w14:paraId="71F71587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L’oggetto e le funzioni del bilancio di esercizio.</w:t>
      </w:r>
    </w:p>
    <w:p w14:paraId="2F01DFC5" w14:textId="77777777" w:rsidR="00731A8A" w:rsidRPr="00914A7E" w:rsidRDefault="00731A8A" w:rsidP="00731A8A">
      <w:pPr>
        <w:spacing w:before="120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La disciplina del bilancio di esercizio in Italia.</w:t>
      </w:r>
    </w:p>
    <w:p w14:paraId="75F248A1" w14:textId="77777777" w:rsidR="00731A8A" w:rsidRPr="00914A7E" w:rsidRDefault="00731A8A" w:rsidP="00731A8A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fonti della disciplina sul bilancio in Italia.</w:t>
      </w:r>
    </w:p>
    <w:p w14:paraId="6AD92DF0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Il modello di bilancio secondo la disciplina codicistica nazionale e i principi contabili internazionali.</w:t>
      </w:r>
    </w:p>
    <w:p w14:paraId="28C44E4B" w14:textId="77777777" w:rsidR="00731A8A" w:rsidRPr="00914A7E" w:rsidRDefault="00731A8A" w:rsidP="00731A8A">
      <w:pPr>
        <w:rPr>
          <w:rFonts w:eastAsia="MS Mincho"/>
        </w:rPr>
      </w:pPr>
      <w:r>
        <w:rPr>
          <w:rFonts w:eastAsia="MS Mincho"/>
        </w:rPr>
        <w:lastRenderedPageBreak/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La normativa fiscale (cenni).</w:t>
      </w:r>
    </w:p>
    <w:p w14:paraId="0DFC61B3" w14:textId="77777777" w:rsidR="00731A8A" w:rsidRPr="00914A7E" w:rsidRDefault="00731A8A" w:rsidP="00731A8A">
      <w:pPr>
        <w:spacing w:before="120"/>
        <w:rPr>
          <w:rFonts w:eastAsia="MS Mincho"/>
          <w:i/>
        </w:rPr>
      </w:pPr>
      <w:r>
        <w:rPr>
          <w:rFonts w:eastAsia="MS Mincho"/>
        </w:rPr>
        <w:t>3.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I documenti del sistema informativo di bilancio.</w:t>
      </w:r>
    </w:p>
    <w:p w14:paraId="263CCA53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strutture e il contenuto degli schemi di bilancio.</w:t>
      </w:r>
    </w:p>
    <w:p w14:paraId="052A91C5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Gli schemi di stato patrimoniale e di conto economico.</w:t>
      </w:r>
    </w:p>
    <w:p w14:paraId="4D26EE35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Il rendiconto finanziario.</w:t>
      </w:r>
    </w:p>
    <w:p w14:paraId="698D5792" w14:textId="7A1D4EF2" w:rsidR="00731A8A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La nota integrativa e la relazione sulla gestione.</w:t>
      </w:r>
    </w:p>
    <w:p w14:paraId="38CDC750" w14:textId="17023A0D" w:rsidR="007948D2" w:rsidRDefault="007948D2" w:rsidP="007948D2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</w:t>
      </w:r>
      <w:r>
        <w:rPr>
          <w:rFonts w:eastAsia="MS Mincho"/>
        </w:rPr>
        <w:t>ettura di bilanci di esercizio civilistici e IAS/IFRS.</w:t>
      </w:r>
    </w:p>
    <w:p w14:paraId="6E656097" w14:textId="77777777" w:rsidR="00731A8A" w:rsidRPr="00914A7E" w:rsidRDefault="00731A8A" w:rsidP="00731A8A">
      <w:pPr>
        <w:spacing w:before="120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Le valutazioni nel bilancio di esercizio.</w:t>
      </w:r>
    </w:p>
    <w:p w14:paraId="423777EB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valutazioni delle poste dell’attivo: le immobilizzazioni materiali e immateriali, i titoli e le partecipazioni, le rimanenze, i lavori in corso su ordinazione, i crediti.</w:t>
      </w:r>
    </w:p>
    <w:p w14:paraId="65003DF9" w14:textId="77777777" w:rsidR="00731A8A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valutazioni delle poste del passivo: i debiti; i fondi per rischi e oneri.</w:t>
      </w:r>
    </w:p>
    <w:p w14:paraId="55565DDC" w14:textId="77777777" w:rsidR="00731A8A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</w:t>
      </w:r>
      <w:r>
        <w:rPr>
          <w:rFonts w:eastAsia="MS Mincho"/>
        </w:rPr>
        <w:t>a determinazione delle imposte correnti, differite e anticipate</w:t>
      </w:r>
      <w:r w:rsidRPr="00914A7E">
        <w:rPr>
          <w:rFonts w:eastAsia="MS Mincho"/>
        </w:rPr>
        <w:t>.</w:t>
      </w:r>
    </w:p>
    <w:p w14:paraId="6D5BAA0B" w14:textId="77777777" w:rsidR="00731A8A" w:rsidRPr="00914A7E" w:rsidRDefault="00731A8A" w:rsidP="00731A8A">
      <w:pPr>
        <w:spacing w:before="120"/>
        <w:rPr>
          <w:rFonts w:eastAsia="MS Mincho"/>
          <w:i/>
        </w:rPr>
      </w:pPr>
      <w:r>
        <w:rPr>
          <w:rFonts w:eastAsia="MS Mincho"/>
        </w:rPr>
        <w:t>5.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Introduzione al bilancio consolidato.</w:t>
      </w:r>
    </w:p>
    <w:p w14:paraId="70976220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Il bilancio consolidato di gruppo; oggetto, significato, finalità.</w:t>
      </w:r>
    </w:p>
    <w:p w14:paraId="7A9C68D2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L’area e i metodi di consolidamento.</w:t>
      </w:r>
    </w:p>
    <w:p w14:paraId="5D6E4297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La natura e il trattamento contabile delle differenze di consolidamento.</w:t>
      </w:r>
    </w:p>
    <w:p w14:paraId="69FD6FE6" w14:textId="77777777" w:rsidR="00731A8A" w:rsidRPr="00395547" w:rsidRDefault="00731A8A" w:rsidP="003955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ABAAA9D" w14:textId="77777777" w:rsidR="00731A8A" w:rsidRPr="00146D14" w:rsidRDefault="00731A8A" w:rsidP="00F963BD">
      <w:pPr>
        <w:pStyle w:val="Testo1"/>
        <w:spacing w:before="0"/>
      </w:pPr>
      <w:r w:rsidRPr="00146D14">
        <w:rPr>
          <w:smallCaps/>
        </w:rPr>
        <w:t xml:space="preserve">A. Palma </w:t>
      </w:r>
      <w:r w:rsidRPr="00146D14">
        <w:t>(a cura di),</w:t>
      </w:r>
      <w:r w:rsidRPr="00146D14">
        <w:rPr>
          <w:i/>
        </w:rPr>
        <w:t xml:space="preserve"> Il bilancio di esercizio,</w:t>
      </w:r>
      <w:r w:rsidRPr="00146D14">
        <w:t xml:space="preserve"> Giuffrè, Milano, 2016. </w:t>
      </w:r>
    </w:p>
    <w:p w14:paraId="26301DA2" w14:textId="13BD72D6" w:rsidR="00731A8A" w:rsidRPr="00146D14" w:rsidRDefault="00731A8A" w:rsidP="00F963BD">
      <w:pPr>
        <w:pStyle w:val="Testo1"/>
        <w:spacing w:before="0"/>
      </w:pPr>
      <w:r w:rsidRPr="00146D14">
        <w:rPr>
          <w:smallCaps/>
        </w:rPr>
        <w:t xml:space="preserve">R. Stacchezzini </w:t>
      </w:r>
      <w:r w:rsidRPr="00146D14">
        <w:t>(a cura di),</w:t>
      </w:r>
      <w:r w:rsidRPr="00146D14">
        <w:rPr>
          <w:i/>
        </w:rPr>
        <w:t xml:space="preserve"> </w:t>
      </w:r>
      <w:r w:rsidR="007948D2" w:rsidRPr="00146D14">
        <w:rPr>
          <w:i/>
        </w:rPr>
        <w:t>Bilancio d’impresa. Esercizi svolti,</w:t>
      </w:r>
      <w:r w:rsidR="007948D2" w:rsidRPr="00146D14">
        <w:t xml:space="preserve"> Egea, Milano, 2018.</w:t>
      </w:r>
      <w:r w:rsidR="007948D2" w:rsidRPr="00146D14" w:rsidDel="007948D2">
        <w:t xml:space="preserve"> </w:t>
      </w:r>
    </w:p>
    <w:p w14:paraId="1EED861A" w14:textId="77777777" w:rsidR="00731A8A" w:rsidRPr="00146D14" w:rsidRDefault="00731A8A" w:rsidP="00F963BD">
      <w:pPr>
        <w:pStyle w:val="Testo1"/>
        <w:spacing w:before="0"/>
        <w:rPr>
          <w:rFonts w:ascii="Times New Roman" w:hAnsi="Times New Roman"/>
        </w:rPr>
      </w:pPr>
      <w:r w:rsidRPr="00146D14">
        <w:rPr>
          <w:rFonts w:ascii="Times New Roman" w:hAnsi="Times New Roman"/>
        </w:rPr>
        <w:t>La preparazione all’esame si completa con il materiale messo a disposizione degli studenti attraverso la piattaforma Blackboard (slides delle lezioni e altra documentazione).</w:t>
      </w:r>
      <w:bookmarkStart w:id="0" w:name="_GoBack"/>
      <w:bookmarkEnd w:id="0"/>
    </w:p>
    <w:p w14:paraId="193E5A68" w14:textId="77777777" w:rsidR="00731A8A" w:rsidRDefault="00731A8A" w:rsidP="00731A8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81EFBC9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Il corso si articola in un ciclo di lezioni svolte con l’ausilio di slides e di altro materiale di supporto. Le slides sono messe a disposizione degli studenti attraverso la piattaforma Blackboard prima di ciascuna lezione.</w:t>
      </w:r>
    </w:p>
    <w:p w14:paraId="27AE03BF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In parallelo alle lezioni sarà tenuto un ciclo organico di esercitazioni strumentali all’approfondimento dei principi di redazione e dei criteri di valutazione di bilancio. Durante il corso si farà riferimento a casi concreti tratti da reali bilanci aziendali. Il testo di ciascuna esercitazione è messo a disposizione degli studenti attraverso la piattaforma Blackboard prima della relativa soluzione.</w:t>
      </w:r>
    </w:p>
    <w:p w14:paraId="59D272ED" w14:textId="77777777" w:rsidR="00731A8A" w:rsidRDefault="00731A8A" w:rsidP="00731A8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8FE54E" w14:textId="613EFC6A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È previsto lo svolgimento di una prova intermedia, il cui eventuale esito positivo consente il superamento di un terzo dell'esame, con un peso pari a un terzo rispetto al voto finale, con la conseguenza che il programma di cui alla prova intermedia non sarà riproposto nella prova finale. La prova intermedia è strutturata in domande a risposte multiple (di carattre sia teorico-</w:t>
      </w:r>
      <w:r w:rsidRPr="00146D14">
        <w:rPr>
          <w:rFonts w:ascii="Times New Roman" w:hAnsi="Times New Roman"/>
        </w:rPr>
        <w:lastRenderedPageBreak/>
        <w:t>generale sia applicativo-quantitativo). L’eventuale esito positivo conseguito nella prova intermedia può essere fatto valere solo ne</w:t>
      </w:r>
      <w:r w:rsidR="005A4BCD" w:rsidRPr="00146D14">
        <w:rPr>
          <w:rFonts w:ascii="Times New Roman" w:hAnsi="Times New Roman"/>
        </w:rPr>
        <w:t>ll’</w:t>
      </w:r>
      <w:r w:rsidRPr="00146D14">
        <w:rPr>
          <w:rFonts w:ascii="Times New Roman" w:hAnsi="Times New Roman"/>
        </w:rPr>
        <w:t>appell</w:t>
      </w:r>
      <w:r w:rsidR="005A4BCD" w:rsidRPr="00146D14">
        <w:rPr>
          <w:rFonts w:ascii="Times New Roman" w:hAnsi="Times New Roman"/>
        </w:rPr>
        <w:t>o</w:t>
      </w:r>
      <w:r w:rsidRPr="00146D14">
        <w:rPr>
          <w:rFonts w:ascii="Times New Roman" w:hAnsi="Times New Roman"/>
        </w:rPr>
        <w:t xml:space="preserve"> della prima sessione d’esam</w:t>
      </w:r>
      <w:r w:rsidR="005A4BCD" w:rsidRPr="00146D14">
        <w:rPr>
          <w:rFonts w:ascii="Times New Roman" w:hAnsi="Times New Roman"/>
        </w:rPr>
        <w:t>e</w:t>
      </w:r>
      <w:r w:rsidRPr="00146D14">
        <w:rPr>
          <w:rFonts w:ascii="Times New Roman" w:hAnsi="Times New Roman"/>
        </w:rPr>
        <w:t xml:space="preserve"> immediatamente successiva.</w:t>
      </w:r>
    </w:p>
    <w:p w14:paraId="205CE12A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 xml:space="preserve">Se lo studente non sostiene o non supera la prova intermedia, deve sostenere una prova generale che verte sul programma integrale. </w:t>
      </w:r>
    </w:p>
    <w:p w14:paraId="2636DD9A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 xml:space="preserve">L’esame integrale è strutturato in una prova scritta, articolata in tre parti: la prima parte è strutturata in domande a risposte multiple (di carattre sia teorico-generale sia applicativo-quantitativo) relative ai punti 1, 2, 3 e 5 del programma; la seconda parte è composta da un’articolata domanda a risposta aperta relativa al punto 4 del programma. La terza parte dell’esame è costituita da un esercizio teso a verificare l’applicazione metodologica delle conoscenze acquisite e le competenze specifiche maturate dallo studente sugli aspetti operativi  del programma. </w:t>
      </w:r>
    </w:p>
    <w:p w14:paraId="21E03284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Lo studente supera la prova se consegue un punteggio di almeno 18/30 in ciascuna delle tre parti dell’esame.</w:t>
      </w:r>
    </w:p>
    <w:p w14:paraId="30FEB610" w14:textId="48666964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Gli studenti che hanno superato la prova intermedia potranno svolgere</w:t>
      </w:r>
      <w:r w:rsidR="00964AA6" w:rsidRPr="00146D14">
        <w:rPr>
          <w:rFonts w:ascii="Times New Roman" w:hAnsi="Times New Roman"/>
        </w:rPr>
        <w:t>, nell’appello della prima sessione d’esame immediatamente successiva,</w:t>
      </w:r>
      <w:r w:rsidRPr="00146D14">
        <w:rPr>
          <w:rFonts w:ascii="Times New Roman" w:hAnsi="Times New Roman"/>
        </w:rPr>
        <w:t xml:space="preserve"> solo la seconda e la terza parte previste dalla prova integrale.</w:t>
      </w:r>
    </w:p>
    <w:p w14:paraId="369B61EC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La prova orale può essere: a) richiesta dallo studente che ha superato la prova scritta finale, nel caso in cui ritenga che la propria preparazione non sia riflessa dall’esito della prova; b) richiesta dai docenti.</w:t>
      </w:r>
    </w:p>
    <w:p w14:paraId="020879F9" w14:textId="77777777" w:rsidR="00731A8A" w:rsidRDefault="00731A8A" w:rsidP="00731A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3BF3C4" w14:textId="1BE5F6F9" w:rsidR="00964AA6" w:rsidRPr="00146D14" w:rsidRDefault="00964AA6" w:rsidP="00146D14">
      <w:pPr>
        <w:tabs>
          <w:tab w:val="clear" w:pos="284"/>
        </w:tabs>
        <w:ind w:firstLine="284"/>
        <w:rPr>
          <w:sz w:val="18"/>
        </w:rPr>
      </w:pPr>
      <w:r w:rsidRPr="00146D14">
        <w:rPr>
          <w:sz w:val="18"/>
        </w:rPr>
        <w:t>Lo studente dovrebbe aver maturato conoscenze adeguate in merito a:</w:t>
      </w:r>
    </w:p>
    <w:p w14:paraId="0903636D" w14:textId="77777777" w:rsidR="00964AA6" w:rsidRPr="00146D14" w:rsidRDefault="00964AA6" w:rsidP="00146D14">
      <w:pPr>
        <w:tabs>
          <w:tab w:val="clear" w:pos="284"/>
        </w:tabs>
        <w:ind w:firstLine="284"/>
        <w:rPr>
          <w:sz w:val="18"/>
        </w:rPr>
      </w:pPr>
      <w:r w:rsidRPr="00146D14">
        <w:rPr>
          <w:sz w:val="18"/>
        </w:rPr>
        <w:t>–</w:t>
      </w:r>
      <w:r w:rsidRPr="00146D14">
        <w:rPr>
          <w:sz w:val="18"/>
        </w:rPr>
        <w:tab/>
        <w:t>i principi fondamentali della gestione aziendale;</w:t>
      </w:r>
    </w:p>
    <w:p w14:paraId="620A0012" w14:textId="77777777" w:rsidR="00964AA6" w:rsidRPr="00146D14" w:rsidRDefault="00964AA6" w:rsidP="00146D14">
      <w:pPr>
        <w:tabs>
          <w:tab w:val="clear" w:pos="284"/>
        </w:tabs>
        <w:ind w:firstLine="284"/>
        <w:rPr>
          <w:sz w:val="18"/>
        </w:rPr>
      </w:pPr>
      <w:r w:rsidRPr="00146D14">
        <w:rPr>
          <w:sz w:val="18"/>
        </w:rPr>
        <w:t>–</w:t>
      </w:r>
      <w:r w:rsidRPr="00146D14">
        <w:rPr>
          <w:sz w:val="18"/>
        </w:rPr>
        <w:tab/>
        <w:t>i caratteri essenziali delle strutture e delle logiche di funzionamento delle imprese, nei loro profili istituzionali, competitivi e organizzativi;</w:t>
      </w:r>
    </w:p>
    <w:p w14:paraId="34B1AA93" w14:textId="77777777" w:rsidR="00964AA6" w:rsidRPr="00146D14" w:rsidRDefault="00964AA6" w:rsidP="00146D14">
      <w:pPr>
        <w:tabs>
          <w:tab w:val="clear" w:pos="284"/>
        </w:tabs>
        <w:ind w:firstLine="284"/>
        <w:rPr>
          <w:sz w:val="18"/>
        </w:rPr>
      </w:pPr>
      <w:r w:rsidRPr="00146D14">
        <w:rPr>
          <w:sz w:val="18"/>
        </w:rPr>
        <w:t>–</w:t>
      </w:r>
      <w:r w:rsidRPr="00146D14">
        <w:rPr>
          <w:sz w:val="18"/>
        </w:rPr>
        <w:tab/>
        <w:t>il modello contabile, ossia il processo di riconoscimento dei valori nel sistema contabile (secondo il metodo della partita doppia) e nelle sintesi di fine esercizio.</w:t>
      </w:r>
    </w:p>
    <w:p w14:paraId="041713FA" w14:textId="273AD9E5" w:rsidR="00964AA6" w:rsidRDefault="00964AA6" w:rsidP="00146D14">
      <w:pPr>
        <w:tabs>
          <w:tab w:val="clear" w:pos="284"/>
        </w:tabs>
        <w:ind w:firstLine="284"/>
      </w:pPr>
      <w:r w:rsidRPr="00146D14">
        <w:rPr>
          <w:sz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7948D2" w:rsidRPr="00146D14">
        <w:rPr>
          <w:sz w:val="18"/>
        </w:rPr>
        <w:t xml:space="preserve"> In tale circostanza, le modalità di svolgimento dell’esame potrebbero </w:t>
      </w:r>
      <w:r w:rsidR="00CD0C0A" w:rsidRPr="00146D14">
        <w:rPr>
          <w:sz w:val="18"/>
        </w:rPr>
        <w:t>essere aggiornate per il loro adeguato e corretto svolgimento a distanza.</w:t>
      </w:r>
    </w:p>
    <w:p w14:paraId="13534042" w14:textId="77777777" w:rsidR="00146D14" w:rsidRDefault="00146D14" w:rsidP="00146D14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0CBB7A1B" w14:textId="77777777" w:rsidR="00731A8A" w:rsidRPr="00F963BD" w:rsidRDefault="00731A8A" w:rsidP="00F963BD">
      <w:pPr>
        <w:pStyle w:val="Testo2"/>
      </w:pPr>
      <w:r w:rsidRPr="00F963BD">
        <w:t>Orari e luogo di ricevimento sono comunicati nella pagina web dei docenti.</w:t>
      </w:r>
    </w:p>
    <w:sectPr w:rsidR="00731A8A" w:rsidRPr="00F963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2C38FC" w16cid:durableId="225E7E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14C2"/>
    <w:multiLevelType w:val="hybridMultilevel"/>
    <w:tmpl w:val="898E988C"/>
    <w:lvl w:ilvl="0" w:tplc="DB087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E3"/>
    <w:rsid w:val="00146D14"/>
    <w:rsid w:val="00187B99"/>
    <w:rsid w:val="002014DD"/>
    <w:rsid w:val="002D5E17"/>
    <w:rsid w:val="00395547"/>
    <w:rsid w:val="004349E6"/>
    <w:rsid w:val="004D0F1B"/>
    <w:rsid w:val="004D1217"/>
    <w:rsid w:val="004D6008"/>
    <w:rsid w:val="005A4BCD"/>
    <w:rsid w:val="00640794"/>
    <w:rsid w:val="006F1772"/>
    <w:rsid w:val="00731A8A"/>
    <w:rsid w:val="00782024"/>
    <w:rsid w:val="007948D2"/>
    <w:rsid w:val="008942E7"/>
    <w:rsid w:val="008A1204"/>
    <w:rsid w:val="00900CCA"/>
    <w:rsid w:val="00924B77"/>
    <w:rsid w:val="00940DA2"/>
    <w:rsid w:val="00964AA6"/>
    <w:rsid w:val="009A1C3A"/>
    <w:rsid w:val="009E055C"/>
    <w:rsid w:val="00A74F6F"/>
    <w:rsid w:val="00AA602E"/>
    <w:rsid w:val="00AD3CE3"/>
    <w:rsid w:val="00AD7557"/>
    <w:rsid w:val="00B50C5D"/>
    <w:rsid w:val="00B51253"/>
    <w:rsid w:val="00B525CC"/>
    <w:rsid w:val="00CD0C0A"/>
    <w:rsid w:val="00D404F2"/>
    <w:rsid w:val="00DC4FBD"/>
    <w:rsid w:val="00DE5ECA"/>
    <w:rsid w:val="00E41191"/>
    <w:rsid w:val="00E607E6"/>
    <w:rsid w:val="00F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CFAE7"/>
  <w15:chartTrackingRefBased/>
  <w15:docId w15:val="{B5921B9F-B811-4807-B662-A16F7E97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A8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A8A"/>
    <w:pPr>
      <w:ind w:left="720"/>
      <w:contextualSpacing/>
    </w:pPr>
  </w:style>
  <w:style w:type="character" w:styleId="Rimandocommento">
    <w:name w:val="annotation reference"/>
    <w:basedOn w:val="Carpredefinitoparagrafo"/>
    <w:rsid w:val="00964AA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4AA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4AA6"/>
  </w:style>
  <w:style w:type="paragraph" w:styleId="Soggettocommento">
    <w:name w:val="annotation subject"/>
    <w:basedOn w:val="Testocommento"/>
    <w:next w:val="Testocommento"/>
    <w:link w:val="SoggettocommentoCarattere"/>
    <w:rsid w:val="00964A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4AA6"/>
    <w:rPr>
      <w:b/>
      <w:bCs/>
    </w:rPr>
  </w:style>
  <w:style w:type="paragraph" w:styleId="Testofumetto">
    <w:name w:val="Balloon Text"/>
    <w:basedOn w:val="Normale"/>
    <w:link w:val="TestofumettoCarattere"/>
    <w:rsid w:val="00964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2515-91A1-4E69-8206-EA5ED5EF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987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2003-03-27T10:42:00Z</cp:lastPrinted>
  <dcterms:created xsi:type="dcterms:W3CDTF">2021-05-26T06:46:00Z</dcterms:created>
  <dcterms:modified xsi:type="dcterms:W3CDTF">2021-05-26T06:46:00Z</dcterms:modified>
</cp:coreProperties>
</file>