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0CD4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364F9F5" w14:textId="77777777" w:rsidR="000B3C0C" w:rsidRPr="004475B9" w:rsidRDefault="000B3C0C" w:rsidP="000B3C0C">
      <w:pPr>
        <w:pStyle w:val="Titolo2"/>
      </w:pPr>
      <w:r w:rsidRPr="004475B9">
        <w:t xml:space="preserve">Prof. Chiara </w:t>
      </w:r>
      <w:r w:rsidR="009A41E5" w:rsidRPr="004475B9">
        <w:t>Frigerio</w:t>
      </w:r>
    </w:p>
    <w:p w14:paraId="73D5F6C8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72693B22" w14:textId="77777777" w:rsidR="000B3C0C" w:rsidRPr="004475B9" w:rsidRDefault="000B3C0C" w:rsidP="00F42EE7">
      <w:pPr>
        <w:spacing w:line="240" w:lineRule="exact"/>
        <w:rPr>
          <w:szCs w:val="18"/>
        </w:rPr>
      </w:pPr>
      <w:r w:rsidRPr="004475B9">
        <w:rPr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4A0E7785" w14:textId="77777777" w:rsidR="000B3C0C" w:rsidRPr="004475B9" w:rsidRDefault="000B3C0C" w:rsidP="00F42EE7">
      <w:pPr>
        <w:spacing w:before="120" w:line="240" w:lineRule="exact"/>
        <w:rPr>
          <w:szCs w:val="18"/>
        </w:rPr>
      </w:pPr>
      <w:r w:rsidRPr="004475B9">
        <w:rPr>
          <w:szCs w:val="18"/>
        </w:rPr>
        <w:t>Al termine del corso gli studenti saranno in grado di:</w:t>
      </w:r>
    </w:p>
    <w:p w14:paraId="280C0003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e comparare caratteristiche, condizioni di adozione, punti di forza e limiti di differenti tipi di assetti organizzativi;</w:t>
      </w:r>
    </w:p>
    <w:p w14:paraId="6F692CA2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comprendere i principi di progettazione delle strutture organizzative quali fonti di vantaggio competitivo per le imprese;</w:t>
      </w:r>
    </w:p>
    <w:p w14:paraId="30E22FE0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riconoscere l’impatto che i fattori di contesto dell’impresa (ambiente, st</w:t>
      </w:r>
      <w:r w:rsidR="009A41E5" w:rsidRPr="004475B9">
        <w:rPr>
          <w:szCs w:val="18"/>
        </w:rPr>
        <w:t>rategia, tecnologia</w:t>
      </w:r>
      <w:r w:rsidRPr="004475B9">
        <w:rPr>
          <w:szCs w:val="18"/>
        </w:rPr>
        <w:t>) hanno sulla configurazione degli assetti organizzativi;</w:t>
      </w:r>
    </w:p>
    <w:p w14:paraId="705362F0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elaborare in autonomia valutazioni su soluzioni e strutture organizzative e</w:t>
      </w:r>
      <w:r w:rsidR="004657EF" w:rsidRPr="004475B9">
        <w:rPr>
          <w:szCs w:val="18"/>
        </w:rPr>
        <w:t xml:space="preserve"> </w:t>
      </w:r>
      <w:r w:rsidRPr="004475B9">
        <w:rPr>
          <w:szCs w:val="18"/>
        </w:rPr>
        <w:t xml:space="preserve">applicare i principi della progettazione elaborando proposte di risoluzione a problemi di progettazione al fine di fronteggiare e gestire processi di cambiamento e innovazione; </w:t>
      </w:r>
    </w:p>
    <w:p w14:paraId="4A0784BA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18"/>
        </w:rPr>
      </w:pPr>
      <w:r w:rsidRPr="004475B9">
        <w:rPr>
          <w:color w:val="000000" w:themeColor="text1"/>
          <w:szCs w:val="18"/>
        </w:rPr>
        <w:t>comunicare utilizzando il lessico organizzativo utile per distinguere e discutere le componenti dell’organizzazione d’impresa;</w:t>
      </w:r>
    </w:p>
    <w:p w14:paraId="1D7BB102" w14:textId="77777777" w:rsidR="000B3C0C" w:rsidRPr="004475B9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4475B9">
        <w:rPr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4475B9">
        <w:rPr>
          <w:szCs w:val="18"/>
        </w:rPr>
        <w:t>, alle pratiche di gestione delle persone nelle organizzazioni</w:t>
      </w:r>
      <w:r w:rsidRPr="004475B9">
        <w:rPr>
          <w:szCs w:val="18"/>
        </w:rPr>
        <w:t xml:space="preserve"> e alla progettazione dei sistemi informativi aziendali.</w:t>
      </w:r>
    </w:p>
    <w:p w14:paraId="2D42609C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66811411" w14:textId="77777777" w:rsidR="000B3C0C" w:rsidRPr="004475B9" w:rsidRDefault="000B3C0C" w:rsidP="000B3C0C">
      <w:pPr>
        <w:rPr>
          <w:szCs w:val="18"/>
        </w:rPr>
      </w:pPr>
      <w:r w:rsidRPr="004475B9">
        <w:rPr>
          <w:szCs w:val="18"/>
        </w:rPr>
        <w:t>Il programma del corso affronta in logica evolutiva i contenuti della disciplina ed è articolato nell</w:t>
      </w:r>
      <w:bookmarkStart w:id="0" w:name="_GoBack"/>
      <w:bookmarkEnd w:id="0"/>
      <w:r w:rsidRPr="004475B9">
        <w:rPr>
          <w:szCs w:val="18"/>
        </w:rPr>
        <w:t xml:space="preserve">e seguenti parti fondamentali </w:t>
      </w:r>
    </w:p>
    <w:p w14:paraId="00EBB063" w14:textId="77777777" w:rsidR="00C70CB0" w:rsidRPr="004475B9" w:rsidRDefault="00F42EE7" w:rsidP="00F42EE7">
      <w:pPr>
        <w:rPr>
          <w:i/>
          <w:szCs w:val="18"/>
        </w:rPr>
      </w:pPr>
      <w:r w:rsidRPr="004475B9">
        <w:rPr>
          <w:i/>
          <w:szCs w:val="18"/>
        </w:rPr>
        <w:t>Le dimensioni del sistema organizzativo</w:t>
      </w:r>
    </w:p>
    <w:p w14:paraId="6CDA8221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L’organizzazione come disciplina</w:t>
      </w:r>
    </w:p>
    <w:p w14:paraId="15BF26BA" w14:textId="77777777" w:rsidR="00C70CB0" w:rsidRPr="004475B9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4475B9">
        <w:rPr>
          <w:szCs w:val="18"/>
        </w:rPr>
        <w:t>Le logiche della progettazione e le diverse componenti dell’organizzazione</w:t>
      </w:r>
    </w:p>
    <w:p w14:paraId="613D5A73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>Ambiente, strategia e organizzazione</w:t>
      </w:r>
    </w:p>
    <w:p w14:paraId="09C3E66A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t xml:space="preserve">La relazione tra ambiente, strategia e progettazione organizzativa </w:t>
      </w:r>
    </w:p>
    <w:p w14:paraId="3B6B34EB" w14:textId="77777777" w:rsidR="00C70CB0" w:rsidRPr="004475B9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4475B9">
        <w:rPr>
          <w:szCs w:val="18"/>
        </w:rPr>
        <w:lastRenderedPageBreak/>
        <w:t>L’impatto dell’organizzazione sulla performance aziendale</w:t>
      </w:r>
    </w:p>
    <w:p w14:paraId="1AD9EEFE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 xml:space="preserve">La progettazione degli assetti organizzativi </w:t>
      </w:r>
    </w:p>
    <w:p w14:paraId="35B25506" w14:textId="77777777" w:rsidR="00C70CB0" w:rsidRPr="004475B9" w:rsidRDefault="00C70CB0" w:rsidP="00F42EE7">
      <w:pPr>
        <w:spacing w:line="240" w:lineRule="auto"/>
        <w:ind w:left="284"/>
        <w:rPr>
          <w:szCs w:val="18"/>
        </w:rPr>
      </w:pPr>
      <w:r w:rsidRPr="004475B9">
        <w:rPr>
          <w:szCs w:val="18"/>
        </w:rPr>
        <w:t>Le unità organizzative e i meccanismi di coordinamento</w:t>
      </w:r>
    </w:p>
    <w:p w14:paraId="15749D5A" w14:textId="77777777" w:rsidR="00C70CB0" w:rsidRPr="004475B9" w:rsidRDefault="00C70CB0" w:rsidP="00F42EE7">
      <w:pPr>
        <w:tabs>
          <w:tab w:val="left" w:pos="284"/>
        </w:tabs>
        <w:spacing w:line="240" w:lineRule="auto"/>
        <w:ind w:left="284"/>
        <w:rPr>
          <w:szCs w:val="18"/>
        </w:rPr>
      </w:pPr>
      <w:r w:rsidRPr="004475B9">
        <w:rPr>
          <w:szCs w:val="18"/>
        </w:rPr>
        <w:t>Le macro-strutture organizzative comparate</w:t>
      </w:r>
    </w:p>
    <w:p w14:paraId="35C534D3" w14:textId="77777777" w:rsidR="009A41E5" w:rsidRPr="004475B9" w:rsidRDefault="00992C6E" w:rsidP="00F42EE7">
      <w:pPr>
        <w:tabs>
          <w:tab w:val="left" w:pos="284"/>
        </w:tabs>
        <w:spacing w:line="240" w:lineRule="auto"/>
        <w:ind w:left="284"/>
        <w:rPr>
          <w:smallCaps/>
          <w:szCs w:val="18"/>
        </w:rPr>
      </w:pPr>
      <w:r w:rsidRPr="004475B9">
        <w:rPr>
          <w:szCs w:val="18"/>
        </w:rPr>
        <w:t>Le strutture organizzative internazionali</w:t>
      </w:r>
    </w:p>
    <w:p w14:paraId="69886628" w14:textId="77777777" w:rsidR="00C70CB0" w:rsidRPr="004475B9" w:rsidRDefault="00F42EE7" w:rsidP="00F42EE7">
      <w:pPr>
        <w:spacing w:before="120"/>
        <w:rPr>
          <w:i/>
          <w:szCs w:val="18"/>
        </w:rPr>
      </w:pPr>
      <w:r w:rsidRPr="004475B9">
        <w:rPr>
          <w:i/>
          <w:szCs w:val="18"/>
        </w:rPr>
        <w:t>La relazione tra tecnologia e progettazione organizzativa</w:t>
      </w:r>
    </w:p>
    <w:p w14:paraId="30C3EEC3" w14:textId="77777777" w:rsidR="00C70CB0" w:rsidRPr="004475B9" w:rsidRDefault="00C70CB0" w:rsidP="00F42EE7">
      <w:pPr>
        <w:spacing w:line="240" w:lineRule="auto"/>
        <w:ind w:left="284"/>
        <w:rPr>
          <w:szCs w:val="18"/>
        </w:rPr>
      </w:pPr>
      <w:r w:rsidRPr="004475B9">
        <w:rPr>
          <w:szCs w:val="18"/>
        </w:rPr>
        <w:t>La relazione tra tecnologia e organizzazione</w:t>
      </w:r>
    </w:p>
    <w:p w14:paraId="67AB8DB2" w14:textId="77777777" w:rsidR="00C70CB0" w:rsidRPr="004475B9" w:rsidRDefault="00C70CB0" w:rsidP="00F42EE7">
      <w:pPr>
        <w:spacing w:line="240" w:lineRule="auto"/>
        <w:ind w:left="284"/>
        <w:rPr>
          <w:szCs w:val="18"/>
        </w:rPr>
      </w:pPr>
      <w:r w:rsidRPr="004475B9">
        <w:rPr>
          <w:szCs w:val="18"/>
        </w:rPr>
        <w:t xml:space="preserve">La </w:t>
      </w:r>
      <w:proofErr w:type="gramStart"/>
      <w:r w:rsidRPr="004475B9">
        <w:rPr>
          <w:szCs w:val="18"/>
        </w:rPr>
        <w:t>micro progettazione</w:t>
      </w:r>
      <w:proofErr w:type="gramEnd"/>
      <w:r w:rsidRPr="004475B9">
        <w:rPr>
          <w:szCs w:val="18"/>
        </w:rPr>
        <w:t xml:space="preserve"> organizzativa</w:t>
      </w:r>
    </w:p>
    <w:p w14:paraId="3B67E438" w14:textId="77777777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A652BD">
        <w:rPr>
          <w:rStyle w:val="Rimandonotaapidipagina"/>
          <w:b/>
          <w:i/>
          <w:sz w:val="18"/>
          <w:szCs w:val="18"/>
        </w:rPr>
        <w:footnoteReference w:id="1"/>
      </w:r>
    </w:p>
    <w:p w14:paraId="4AA9497D" w14:textId="027DFA39" w:rsidR="00100835" w:rsidRPr="00F272DF" w:rsidRDefault="00100835" w:rsidP="00100835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F272DF">
        <w:rPr>
          <w:rFonts w:eastAsia="Calibri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20</w:t>
      </w:r>
      <w:r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>, Se</w:t>
      </w:r>
      <w:r>
        <w:rPr>
          <w:rFonts w:eastAsia="Calibri"/>
          <w:spacing w:val="-5"/>
          <w:szCs w:val="18"/>
        </w:rPr>
        <w:t>ttima</w:t>
      </w:r>
      <w:r w:rsidRPr="00F272DF">
        <w:rPr>
          <w:rFonts w:eastAsia="Calibri"/>
          <w:spacing w:val="-5"/>
          <w:szCs w:val="18"/>
        </w:rPr>
        <w:t xml:space="preserve"> Edizione.</w:t>
      </w:r>
      <w:r>
        <w:rPr>
          <w:rFonts w:eastAsia="Calibri"/>
          <w:spacing w:val="-5"/>
          <w:szCs w:val="18"/>
        </w:rPr>
        <w:t xml:space="preserve"> </w:t>
      </w:r>
      <w:hyperlink r:id="rId8" w:history="1">
        <w:r w:rsidRPr="00D57E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>
        <w:rPr>
          <w:rStyle w:val="Collegamentoipertestuale"/>
          <w:rFonts w:ascii="Times New Roman" w:hAnsi="Times New Roman"/>
          <w:i/>
          <w:sz w:val="16"/>
          <w:szCs w:val="16"/>
        </w:rPr>
        <w:t xml:space="preserve">, </w:t>
      </w:r>
      <w:r w:rsidRPr="00F42BB9"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  <w:u w:val="none"/>
        </w:rPr>
        <w:t xml:space="preserve">Capitoli da 1 a </w:t>
      </w:r>
      <w:r w:rsidR="00F42BB9" w:rsidRPr="00F42BB9">
        <w:rPr>
          <w:rStyle w:val="Collegamentoipertestuale"/>
          <w:rFonts w:ascii="Times New Roman" w:hAnsi="Times New Roman"/>
          <w:i/>
          <w:color w:val="000000" w:themeColor="text1"/>
          <w:sz w:val="16"/>
          <w:szCs w:val="16"/>
          <w:u w:val="none"/>
        </w:rPr>
        <w:t>8 ad esclusione del 5 e del 7.</w:t>
      </w:r>
    </w:p>
    <w:p w14:paraId="0BB1D496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>Articoli, casi di studio</w:t>
      </w:r>
      <w:r w:rsidR="00992C6E">
        <w:rPr>
          <w:rFonts w:eastAsia="Calibri"/>
          <w:szCs w:val="18"/>
        </w:rPr>
        <w:t>, videopillole</w:t>
      </w:r>
      <w:r w:rsidRPr="00F272DF">
        <w:rPr>
          <w:rFonts w:eastAsia="Calibri"/>
          <w:szCs w:val="18"/>
        </w:rPr>
        <w:t xml:space="preserve">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</w:t>
      </w:r>
      <w:r w:rsidR="00992C6E">
        <w:rPr>
          <w:rFonts w:eastAsia="Calibri"/>
          <w:szCs w:val="18"/>
        </w:rPr>
        <w:t>denti iscritti all’insegnamento e sono parte integrante del programma.</w:t>
      </w:r>
    </w:p>
    <w:p w14:paraId="4035447A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5690C8D2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>, esercitazioni, testimonianze aziendali.</w:t>
      </w:r>
    </w:p>
    <w:p w14:paraId="0B750B97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244A578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530CAE4F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2887E57E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t>acquisizione solida delle conoscenze relative alle diverse aree di contenuto;</w:t>
      </w:r>
    </w:p>
    <w:p w14:paraId="007BCF9F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28D8A6C2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1A822976" w14:textId="77777777" w:rsidR="00126B8E" w:rsidRPr="00F272DF" w:rsidRDefault="00F272DF" w:rsidP="00126B8E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78674E38" w14:textId="1639D427" w:rsidR="00E44FEE" w:rsidRDefault="00E44FEE" w:rsidP="00126B8E">
      <w:pPr>
        <w:pStyle w:val="Testo2"/>
        <w:spacing w:before="120"/>
        <w:rPr>
          <w:szCs w:val="18"/>
        </w:rPr>
      </w:pPr>
      <w:r>
        <w:rPr>
          <w:szCs w:val="18"/>
        </w:rPr>
        <w:t>L</w:t>
      </w:r>
      <w:r w:rsidR="000B3C0C" w:rsidRPr="00F272DF">
        <w:rPr>
          <w:szCs w:val="18"/>
        </w:rPr>
        <w:t xml:space="preserve">’esame si svolge attraverso </w:t>
      </w:r>
      <w:r w:rsidR="00992C6E">
        <w:rPr>
          <w:szCs w:val="18"/>
        </w:rPr>
        <w:t xml:space="preserve">una prova scritta che si svolge con </w:t>
      </w:r>
      <w:r>
        <w:rPr>
          <w:szCs w:val="18"/>
        </w:rPr>
        <w:t>in due parti: la prima, della durata di 20 minuti,</w:t>
      </w:r>
      <w:r w:rsidR="00992C6E">
        <w:rPr>
          <w:szCs w:val="18"/>
        </w:rPr>
        <w:t xml:space="preserve"> </w:t>
      </w:r>
      <w:r>
        <w:rPr>
          <w:szCs w:val="18"/>
        </w:rPr>
        <w:t xml:space="preserve">è </w:t>
      </w:r>
      <w:r w:rsidR="00F42BB9">
        <w:rPr>
          <w:szCs w:val="18"/>
        </w:rPr>
        <w:t>composta da 3</w:t>
      </w:r>
      <w:r w:rsidR="00147A69">
        <w:rPr>
          <w:szCs w:val="18"/>
        </w:rPr>
        <w:t xml:space="preserve">0 domande </w:t>
      </w:r>
      <w:r>
        <w:rPr>
          <w:szCs w:val="18"/>
        </w:rPr>
        <w:t xml:space="preserve">Multiple Choice ed ha obiettivo di valutare </w:t>
      </w:r>
      <w:r w:rsidR="00147A69">
        <w:rPr>
          <w:szCs w:val="18"/>
        </w:rPr>
        <w:t xml:space="preserve">le consocenze di base, la </w:t>
      </w:r>
      <w:r>
        <w:rPr>
          <w:szCs w:val="18"/>
        </w:rPr>
        <w:t>capacità</w:t>
      </w:r>
      <w:r w:rsidR="00147A69">
        <w:rPr>
          <w:szCs w:val="18"/>
        </w:rPr>
        <w:t xml:space="preserve"> di correlare contenuti, la conoscenza del linguaggio tecnico. Completa la valutazione una seconda parte</w:t>
      </w:r>
      <w:r>
        <w:rPr>
          <w:szCs w:val="18"/>
        </w:rPr>
        <w:t>, della durata di 40 minuti,</w:t>
      </w:r>
      <w:r w:rsidR="00147A69">
        <w:rPr>
          <w:szCs w:val="18"/>
        </w:rPr>
        <w:t xml:space="preserve"> composta da analisi e diagnosi di casi e dall’argo</w:t>
      </w:r>
      <w:r>
        <w:rPr>
          <w:szCs w:val="18"/>
        </w:rPr>
        <w:t xml:space="preserve">mentazione di un piccolo tema. Ognuna delle parti ha un punteggio di 15/30. Il voto finale si compone dalla somma delle due valutazioni. </w:t>
      </w:r>
    </w:p>
    <w:p w14:paraId="2E30A7C7" w14:textId="77777777" w:rsidR="000B3C0C" w:rsidRPr="00F272DF" w:rsidRDefault="00E44FEE" w:rsidP="00126B8E">
      <w:pPr>
        <w:pStyle w:val="Testo2"/>
        <w:spacing w:before="120"/>
        <w:rPr>
          <w:szCs w:val="18"/>
        </w:rPr>
      </w:pPr>
      <w:r>
        <w:rPr>
          <w:szCs w:val="18"/>
        </w:rPr>
        <w:lastRenderedPageBreak/>
        <w:t>Per gli studenti frequentanti i</w:t>
      </w:r>
      <w:r w:rsidR="000B3C0C" w:rsidRPr="00F272DF">
        <w:rPr>
          <w:szCs w:val="18"/>
        </w:rPr>
        <w:t xml:space="preserve">l programma di esame verte su quanto discusso e condiviso in aula e sulle parti del testo di riferimento secondo il syllabus comunicato in </w:t>
      </w:r>
      <w:r w:rsidR="000B3C0C" w:rsidRPr="00F272DF">
        <w:rPr>
          <w:i/>
          <w:szCs w:val="18"/>
        </w:rPr>
        <w:t>Blackboard</w:t>
      </w:r>
      <w:r w:rsidR="000B3C0C" w:rsidRPr="00F272DF">
        <w:rPr>
          <w:szCs w:val="18"/>
        </w:rPr>
        <w:t xml:space="preserve">. </w:t>
      </w:r>
    </w:p>
    <w:p w14:paraId="1BA14F0B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Per gli </w:t>
      </w:r>
      <w:r w:rsidRPr="00F272DF">
        <w:rPr>
          <w:i/>
          <w:szCs w:val="18"/>
        </w:rPr>
        <w:t xml:space="preserve">studenti </w:t>
      </w:r>
      <w:r w:rsidR="00E44FEE">
        <w:rPr>
          <w:i/>
          <w:szCs w:val="18"/>
        </w:rPr>
        <w:t xml:space="preserve">non </w:t>
      </w:r>
      <w:r w:rsidRPr="00F272DF">
        <w:rPr>
          <w:i/>
          <w:szCs w:val="18"/>
        </w:rPr>
        <w:t>frequentanti</w:t>
      </w:r>
      <w:r w:rsidRPr="00F272DF">
        <w:rPr>
          <w:szCs w:val="18"/>
        </w:rPr>
        <w:t xml:space="preserve">, </w:t>
      </w:r>
      <w:r w:rsidR="00E44FEE">
        <w:rPr>
          <w:szCs w:val="18"/>
        </w:rPr>
        <w:t xml:space="preserve">il programma di esame verte sul libro e su quanto presente in </w:t>
      </w:r>
      <w:r w:rsidR="00E44FEE" w:rsidRPr="00E44FEE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66212FE" w14:textId="77777777" w:rsidR="00E44FEE" w:rsidRPr="00F272DF" w:rsidRDefault="000B3C0C" w:rsidP="00E44FEE">
      <w:pPr>
        <w:pStyle w:val="Testo2"/>
        <w:spacing w:before="120"/>
        <w:rPr>
          <w:szCs w:val="18"/>
        </w:rPr>
      </w:pPr>
      <w:r w:rsidRPr="00F272DF">
        <w:rPr>
          <w:szCs w:val="18"/>
        </w:rPr>
        <w:t>È possibile sostenere l'esame in qualunque appello ufficiale previsto dal calendario accademico.</w:t>
      </w:r>
      <w:r w:rsidR="00E44FEE">
        <w:rPr>
          <w:szCs w:val="18"/>
        </w:rPr>
        <w:t xml:space="preserve"> Non ci sono salti di appello.</w:t>
      </w:r>
    </w:p>
    <w:p w14:paraId="4B7F6461" w14:textId="77777777" w:rsidR="000B3C0C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  <w:r w:rsidR="00E44FEE">
        <w:rPr>
          <w:szCs w:val="18"/>
        </w:rPr>
        <w:t xml:space="preserve"> </w:t>
      </w:r>
    </w:p>
    <w:p w14:paraId="713AA95D" w14:textId="77777777" w:rsidR="00E44FEE" w:rsidRPr="00F272DF" w:rsidRDefault="00E44FEE" w:rsidP="000B3C0C">
      <w:pPr>
        <w:pStyle w:val="Testo2"/>
        <w:spacing w:before="120"/>
        <w:rPr>
          <w:szCs w:val="18"/>
        </w:rPr>
      </w:pPr>
      <w:r>
        <w:rPr>
          <w:szCs w:val="18"/>
        </w:rPr>
        <w:t xml:space="preserve">Il programam è limitato per studenti che hanno a debito l’esame per meno di 5CFU. Per costoro si prega di far riferimento alle indicazioni presenti su </w:t>
      </w:r>
      <w:r w:rsidRPr="00E44FEE">
        <w:rPr>
          <w:i/>
          <w:szCs w:val="18"/>
        </w:rPr>
        <w:t>Blackboard</w:t>
      </w:r>
      <w:r>
        <w:rPr>
          <w:szCs w:val="18"/>
        </w:rPr>
        <w:t>.</w:t>
      </w:r>
    </w:p>
    <w:p w14:paraId="7280439A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3DAE5DA9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654BF9D4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64D97" w14:textId="77777777" w:rsidR="00C876FB" w:rsidRDefault="00C876FB" w:rsidP="00A652BD">
      <w:pPr>
        <w:spacing w:line="240" w:lineRule="auto"/>
      </w:pPr>
      <w:r>
        <w:separator/>
      </w:r>
    </w:p>
  </w:endnote>
  <w:endnote w:type="continuationSeparator" w:id="0">
    <w:p w14:paraId="5A502E76" w14:textId="77777777" w:rsidR="00C876FB" w:rsidRDefault="00C876FB" w:rsidP="00A652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7620" w14:textId="77777777" w:rsidR="00C876FB" w:rsidRDefault="00C876FB" w:rsidP="00A652BD">
      <w:pPr>
        <w:spacing w:line="240" w:lineRule="auto"/>
      </w:pPr>
      <w:r>
        <w:separator/>
      </w:r>
    </w:p>
  </w:footnote>
  <w:footnote w:type="continuationSeparator" w:id="0">
    <w:p w14:paraId="4C4FB836" w14:textId="77777777" w:rsidR="00C876FB" w:rsidRDefault="00C876FB" w:rsidP="00A652BD">
      <w:pPr>
        <w:spacing w:line="240" w:lineRule="auto"/>
      </w:pPr>
      <w:r>
        <w:continuationSeparator/>
      </w:r>
    </w:p>
  </w:footnote>
  <w:footnote w:id="1">
    <w:p w14:paraId="67316CC3" w14:textId="77777777" w:rsidR="00A652BD" w:rsidRDefault="00A652B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0"/>
    <w:rsid w:val="000A3060"/>
    <w:rsid w:val="000B3C0C"/>
    <w:rsid w:val="00100835"/>
    <w:rsid w:val="00126B8E"/>
    <w:rsid w:val="00147A69"/>
    <w:rsid w:val="00187B99"/>
    <w:rsid w:val="001C2ADE"/>
    <w:rsid w:val="002014DD"/>
    <w:rsid w:val="002D5E17"/>
    <w:rsid w:val="002F19DC"/>
    <w:rsid w:val="004475B9"/>
    <w:rsid w:val="004657EF"/>
    <w:rsid w:val="004D1217"/>
    <w:rsid w:val="004D6008"/>
    <w:rsid w:val="00640794"/>
    <w:rsid w:val="006F1772"/>
    <w:rsid w:val="0074123D"/>
    <w:rsid w:val="007E42DE"/>
    <w:rsid w:val="007F7C2F"/>
    <w:rsid w:val="008820B3"/>
    <w:rsid w:val="008942E7"/>
    <w:rsid w:val="008A1204"/>
    <w:rsid w:val="00900CCA"/>
    <w:rsid w:val="00924B77"/>
    <w:rsid w:val="00940DA2"/>
    <w:rsid w:val="00992C6E"/>
    <w:rsid w:val="009A41E5"/>
    <w:rsid w:val="009E055C"/>
    <w:rsid w:val="00A652BD"/>
    <w:rsid w:val="00A74F6F"/>
    <w:rsid w:val="00AD7557"/>
    <w:rsid w:val="00B50C5D"/>
    <w:rsid w:val="00B51253"/>
    <w:rsid w:val="00B525CC"/>
    <w:rsid w:val="00C57880"/>
    <w:rsid w:val="00C70CB0"/>
    <w:rsid w:val="00C876FB"/>
    <w:rsid w:val="00D404F2"/>
    <w:rsid w:val="00D906C9"/>
    <w:rsid w:val="00E44FEE"/>
    <w:rsid w:val="00E607E6"/>
    <w:rsid w:val="00E93202"/>
    <w:rsid w:val="00EF68BE"/>
    <w:rsid w:val="00F272DF"/>
    <w:rsid w:val="00F42BB9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9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52B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52BD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652BD"/>
    <w:rPr>
      <w:vertAlign w:val="superscript"/>
    </w:rPr>
  </w:style>
  <w:style w:type="character" w:styleId="Collegamentoipertestuale">
    <w:name w:val="Hyperlink"/>
    <w:basedOn w:val="Carpredefinitoparagrafo"/>
    <w:unhideWhenUsed/>
    <w:rsid w:val="00A6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47146-6918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B013F-A685-4619-9C27-8C2C9ADA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742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Paoluzzi Cristiano</cp:lastModifiedBy>
  <cp:revision>2</cp:revision>
  <cp:lastPrinted>2003-03-27T10:42:00Z</cp:lastPrinted>
  <dcterms:created xsi:type="dcterms:W3CDTF">2021-09-27T07:24:00Z</dcterms:created>
  <dcterms:modified xsi:type="dcterms:W3CDTF">2021-09-27T07:24:00Z</dcterms:modified>
</cp:coreProperties>
</file>