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BBA1" w14:textId="77777777" w:rsidR="002D5E17" w:rsidRPr="00081AC4" w:rsidRDefault="00B3041E" w:rsidP="002D5E17">
      <w:pPr>
        <w:pStyle w:val="Titolo1"/>
        <w:rPr>
          <w:rFonts w:ascii="Times New Roman" w:hAnsi="Times New Roman"/>
        </w:rPr>
      </w:pPr>
      <w:r w:rsidRPr="00081AC4">
        <w:rPr>
          <w:rFonts w:ascii="Times New Roman" w:hAnsi="Times New Roman"/>
        </w:rPr>
        <w:t>Linguistica inglese (profilo in Lingue per il management e il turismo)</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 xml:space="preserve">-grammar, lexicography and </w:t>
      </w:r>
      <w:proofErr w:type="spellStart"/>
      <w:r w:rsidRPr="00081AC4">
        <w:rPr>
          <w:rFonts w:eastAsiaTheme="minorHAnsi"/>
          <w:szCs w:val="20"/>
          <w:lang w:val="en-US" w:eastAsia="en-US"/>
        </w:rPr>
        <w:t>textuality</w:t>
      </w:r>
      <w:proofErr w:type="spellEnd"/>
      <w:r w:rsidRPr="00081AC4">
        <w:rPr>
          <w:rFonts w:eastAsiaTheme="minorHAnsi"/>
          <w:szCs w:val="20"/>
          <w:lang w:val="en-US" w:eastAsia="en-US"/>
        </w:rPr>
        <w:t>.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lastRenderedPageBreak/>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08F5FFCA"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Morphology</w:t>
      </w:r>
      <w:r w:rsidR="003C663A" w:rsidRPr="00081AC4">
        <w:rPr>
          <w:szCs w:val="20"/>
          <w:lang w:val="en-GB"/>
        </w:rPr>
        <w:t>:</w:t>
      </w:r>
    </w:p>
    <w:p w14:paraId="60628C1F" w14:textId="77777777" w:rsidR="00B3041E" w:rsidRPr="00081AC4" w:rsidRDefault="00B3041E" w:rsidP="00B3041E">
      <w:pPr>
        <w:rPr>
          <w:szCs w:val="20"/>
          <w:lang w:val="en-GB"/>
        </w:rPr>
      </w:pPr>
      <w:r w:rsidRPr="00081AC4">
        <w:rPr>
          <w:szCs w:val="20"/>
          <w:lang w:val="en-GB"/>
        </w:rPr>
        <w:t>*</w:t>
      </w:r>
      <w:r w:rsidRPr="00081AC4">
        <w:rPr>
          <w:szCs w:val="20"/>
          <w:lang w:val="en-GB"/>
        </w:rPr>
        <w:tab/>
        <w:t>word, lexeme, word-form;</w:t>
      </w:r>
    </w:p>
    <w:p w14:paraId="3FA673C1" w14:textId="77777777" w:rsidR="00B3041E" w:rsidRPr="00081AC4" w:rsidRDefault="00B3041E" w:rsidP="00B3041E">
      <w:pPr>
        <w:rPr>
          <w:szCs w:val="20"/>
          <w:lang w:val="en-GB"/>
        </w:rPr>
      </w:pPr>
      <w:r w:rsidRPr="00081AC4">
        <w:rPr>
          <w:szCs w:val="20"/>
          <w:lang w:val="en-GB"/>
        </w:rPr>
        <w:t>*</w:t>
      </w:r>
      <w:r w:rsidRPr="00081AC4">
        <w:rPr>
          <w:szCs w:val="20"/>
          <w:lang w:val="en-GB"/>
        </w:rPr>
        <w:tab/>
        <w:t>morphs, morphemes, allomorphs;</w:t>
      </w:r>
    </w:p>
    <w:p w14:paraId="6FB37B91" w14:textId="77777777" w:rsidR="00B3041E" w:rsidRPr="00081AC4" w:rsidRDefault="00B3041E" w:rsidP="00B3041E">
      <w:pPr>
        <w:rPr>
          <w:szCs w:val="20"/>
          <w:lang w:val="en-GB"/>
        </w:rPr>
      </w:pPr>
      <w:r w:rsidRPr="00081AC4">
        <w:rPr>
          <w:szCs w:val="20"/>
          <w:lang w:val="en-GB"/>
        </w:rPr>
        <w:t>*</w:t>
      </w:r>
      <w:r w:rsidRPr="00081AC4">
        <w:rPr>
          <w:szCs w:val="20"/>
          <w:lang w:val="en-GB"/>
        </w:rPr>
        <w:tab/>
        <w:t>word-formation.</w:t>
      </w:r>
    </w:p>
    <w:p w14:paraId="53985C5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Syntax</w:t>
      </w:r>
      <w:r w:rsidR="003C663A" w:rsidRPr="00081AC4">
        <w:rPr>
          <w:szCs w:val="20"/>
          <w:lang w:val="en-GB"/>
        </w:rPr>
        <w:t>:</w:t>
      </w:r>
    </w:p>
    <w:p w14:paraId="171A65F9" w14:textId="77777777" w:rsidR="00B3041E" w:rsidRPr="00081AC4" w:rsidRDefault="00B3041E" w:rsidP="00B3041E">
      <w:pPr>
        <w:rPr>
          <w:szCs w:val="20"/>
          <w:lang w:val="en-GB"/>
        </w:rPr>
      </w:pPr>
      <w:r w:rsidRPr="00081AC4">
        <w:rPr>
          <w:szCs w:val="20"/>
          <w:lang w:val="en-GB"/>
        </w:rPr>
        <w:t>*</w:t>
      </w:r>
      <w:r w:rsidRPr="00081AC4">
        <w:rPr>
          <w:szCs w:val="20"/>
          <w:lang w:val="en-GB"/>
        </w:rPr>
        <w:tab/>
        <w:t>word classes;</w:t>
      </w:r>
    </w:p>
    <w:p w14:paraId="6AC6AD10" w14:textId="77777777" w:rsidR="00B3041E" w:rsidRPr="00081AC4" w:rsidRDefault="00A27BD1" w:rsidP="00B3041E">
      <w:pPr>
        <w:rPr>
          <w:szCs w:val="20"/>
          <w:lang w:val="en-GB"/>
        </w:rPr>
      </w:pPr>
      <w:r w:rsidRPr="00081AC4">
        <w:rPr>
          <w:szCs w:val="20"/>
          <w:lang w:val="en-GB"/>
        </w:rPr>
        <w:t>*</w:t>
      </w:r>
      <w:r w:rsidRPr="00081AC4">
        <w:rPr>
          <w:szCs w:val="20"/>
          <w:lang w:val="en-GB"/>
        </w:rPr>
        <w:tab/>
        <w:t>p</w:t>
      </w:r>
      <w:r w:rsidR="00B3041E" w:rsidRPr="00081AC4">
        <w:rPr>
          <w:szCs w:val="20"/>
          <w:lang w:val="en-GB"/>
        </w:rPr>
        <w:t>hrases</w:t>
      </w:r>
      <w:r w:rsidRPr="00081AC4">
        <w:rPr>
          <w:szCs w:val="20"/>
          <w:lang w:val="en-GB"/>
        </w:rPr>
        <w:t>;</w:t>
      </w:r>
    </w:p>
    <w:p w14:paraId="62EA3413" w14:textId="77777777" w:rsidR="00B3041E" w:rsidRPr="00081AC4" w:rsidRDefault="00A27BD1" w:rsidP="00B3041E">
      <w:pPr>
        <w:rPr>
          <w:szCs w:val="20"/>
          <w:lang w:val="en-GB"/>
        </w:rPr>
      </w:pPr>
      <w:r w:rsidRPr="00081AC4">
        <w:rPr>
          <w:szCs w:val="20"/>
          <w:lang w:val="en-GB"/>
        </w:rPr>
        <w:t>*</w:t>
      </w:r>
      <w:r w:rsidRPr="00081AC4">
        <w:rPr>
          <w:szCs w:val="20"/>
          <w:lang w:val="en-GB"/>
        </w:rPr>
        <w:tab/>
        <w:t>s</w:t>
      </w:r>
      <w:r w:rsidR="00B3041E" w:rsidRPr="00081AC4">
        <w:rPr>
          <w:szCs w:val="20"/>
          <w:lang w:val="en-GB"/>
        </w:rPr>
        <w:t>entence elements and functions</w:t>
      </w:r>
      <w:r w:rsidRPr="00081AC4">
        <w:rPr>
          <w:szCs w:val="20"/>
          <w:lang w:val="en-GB"/>
        </w:rPr>
        <w:t>;</w:t>
      </w:r>
    </w:p>
    <w:p w14:paraId="4DDCA115" w14:textId="77777777" w:rsidR="00B3041E" w:rsidRPr="00081AC4" w:rsidRDefault="00A27BD1" w:rsidP="00B3041E">
      <w:pPr>
        <w:rPr>
          <w:szCs w:val="20"/>
          <w:lang w:val="en-GB"/>
        </w:rPr>
      </w:pPr>
      <w:r w:rsidRPr="00081AC4">
        <w:rPr>
          <w:szCs w:val="20"/>
          <w:lang w:val="en-GB"/>
        </w:rPr>
        <w:t>*</w:t>
      </w:r>
      <w:r w:rsidRPr="00081AC4">
        <w:rPr>
          <w:szCs w:val="20"/>
          <w:lang w:val="en-GB"/>
        </w:rPr>
        <w:tab/>
        <w:t>word order.</w:t>
      </w:r>
    </w:p>
    <w:p w14:paraId="241C76DA" w14:textId="77777777" w:rsidR="00B261EF" w:rsidRPr="007724FA" w:rsidRDefault="00B261EF" w:rsidP="00B261EF">
      <w:pPr>
        <w:spacing w:before="240" w:after="120"/>
        <w:rPr>
          <w:b/>
          <w:i/>
          <w:sz w:val="18"/>
          <w:szCs w:val="18"/>
          <w:lang w:val="en-US"/>
        </w:rPr>
      </w:pPr>
      <w:r w:rsidRPr="007724FA">
        <w:rPr>
          <w:b/>
          <w:i/>
          <w:sz w:val="18"/>
          <w:szCs w:val="18"/>
          <w:lang w:val="en-US"/>
        </w:rPr>
        <w:t>READING LIST</w:t>
      </w:r>
      <w:r w:rsidR="009329F4" w:rsidRPr="007724FA">
        <w:rPr>
          <w:rStyle w:val="Rimandonotaapidipagina"/>
          <w:b/>
          <w:i/>
          <w:sz w:val="18"/>
          <w:szCs w:val="18"/>
          <w:lang w:val="en-US"/>
        </w:rPr>
        <w:footnoteReference w:id="1"/>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hyperlink r:id="rId8" w:history="1">
        <w:r w:rsidR="009329F4" w:rsidRPr="007724FA">
          <w:rPr>
            <w:rStyle w:val="Collegamentoipertestuale"/>
            <w:rFonts w:ascii="Times New Roman" w:hAnsi="Times New Roman"/>
            <w:i/>
            <w:szCs w:val="18"/>
            <w:lang w:val="en-GB"/>
          </w:rPr>
          <w:t>Acquista da VP</w:t>
        </w:r>
      </w:hyperlink>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p>
    <w:p w14:paraId="6F4A89E5"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p>
    <w:p w14:paraId="199904CA"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77777777" w:rsidR="00823415" w:rsidRPr="007724FA"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1F059C86" w14:textId="77777777" w:rsidR="00823415" w:rsidRPr="007724FA" w:rsidRDefault="00823415" w:rsidP="007724FA">
      <w:pPr>
        <w:ind w:firstLine="284"/>
        <w:rPr>
          <w:sz w:val="18"/>
          <w:szCs w:val="18"/>
          <w:lang w:val="en-GB"/>
        </w:rPr>
      </w:pPr>
      <w:r w:rsidRPr="007724FA">
        <w:rPr>
          <w:sz w:val="18"/>
          <w:szCs w:val="18"/>
          <w:lang w:val="en-GB"/>
        </w:rPr>
        <w:t xml:space="preserve">If the health situation caused by the COVID-19 pandemic prevents teaching in the classroom, students will be notified in good time of the alternative lessons which will be provided via the online platforms used by the University. </w:t>
      </w:r>
    </w:p>
    <w:p w14:paraId="78DE7FAB" w14:textId="77777777" w:rsidR="00823415" w:rsidRPr="007724FA" w:rsidRDefault="00823415" w:rsidP="00F67AFB">
      <w:pPr>
        <w:pStyle w:val="Testo2"/>
        <w:rPr>
          <w:rFonts w:ascii="Times New Roman" w:hAnsi="Times New Roman"/>
          <w:szCs w:val="18"/>
          <w:lang w:val="en-GB"/>
        </w:rPr>
      </w:pP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bookmarkStart w:id="0" w:name="_GoBack"/>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bookmarkEnd w:id="0"/>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6130F84D" w:rsidR="00F67AFB" w:rsidRDefault="00F67AFB" w:rsidP="00F67AFB">
      <w:pPr>
        <w:pStyle w:val="Testo2"/>
        <w:rPr>
          <w:rFonts w:ascii="Times New Roman" w:hAnsi="Times New Roman"/>
          <w:szCs w:val="18"/>
          <w:lang w:val="en-US"/>
        </w:rPr>
      </w:pPr>
      <w:r w:rsidRPr="007724FA">
        <w:rPr>
          <w:rFonts w:ascii="Times New Roman" w:hAnsi="Times New Roman"/>
          <w:szCs w:val="18"/>
          <w:lang w:val="en-US"/>
        </w:rPr>
        <w:t xml:space="preserve">All students must enrol in the course on Blackboard. </w:t>
      </w:r>
    </w:p>
    <w:p w14:paraId="175D53FE" w14:textId="77777777" w:rsidR="007724FA" w:rsidRPr="007724FA" w:rsidRDefault="007724FA" w:rsidP="007724FA">
      <w:pPr>
        <w:pStyle w:val="Testo2"/>
        <w:spacing w:before="120"/>
        <w:rPr>
          <w:rFonts w:ascii="Times New Roman" w:eastAsiaTheme="minorHAnsi" w:hAnsi="Times New Roman"/>
          <w:szCs w:val="18"/>
          <w:lang w:val="en-GB" w:eastAsia="en-US"/>
        </w:rPr>
      </w:pPr>
      <w:r w:rsidRPr="007724FA">
        <w:rPr>
          <w:rFonts w:ascii="Times New Roman" w:hAnsi="Times New Roman"/>
          <w:color w:val="000000"/>
          <w:szCs w:val="18"/>
          <w:lang w:val="en-GB"/>
        </w:rPr>
        <w:t>In case the current Covid-19 health emergency does not allow frontal oral exams, remote assessment will be carried out following procedures that will be promptly notified to students.</w:t>
      </w:r>
    </w:p>
    <w:p w14:paraId="7E5D2ABE" w14:textId="77777777" w:rsidR="00F67AFB" w:rsidRPr="007724FA" w:rsidRDefault="00F67AFB" w:rsidP="00F67AFB">
      <w:pPr>
        <w:pStyle w:val="Testo2"/>
        <w:spacing w:before="120"/>
        <w:rPr>
          <w:rFonts w:ascii="Times New Roman" w:hAnsi="Times New Roman"/>
          <w:i/>
          <w:szCs w:val="18"/>
          <w:lang w:val="en-GB"/>
        </w:rPr>
      </w:pPr>
      <w:r w:rsidRPr="007724FA">
        <w:rPr>
          <w:rFonts w:ascii="Times New Roman" w:hAnsi="Times New Roman"/>
          <w:i/>
          <w:szCs w:val="18"/>
          <w:lang w:val="en-GB"/>
        </w:rPr>
        <w:t>Place and time of consultation hours</w:t>
      </w:r>
    </w:p>
    <w:p w14:paraId="573DC03F" w14:textId="046DA375" w:rsidR="00F67AFB" w:rsidRPr="007724FA" w:rsidRDefault="00F67AFB" w:rsidP="00F67AFB">
      <w:pPr>
        <w:pStyle w:val="Testo2"/>
        <w:rPr>
          <w:szCs w:val="18"/>
          <w:lang w:val="en-US"/>
        </w:rPr>
      </w:pPr>
      <w:r w:rsidRPr="007724FA">
        <w:rPr>
          <w:rFonts w:ascii="Times New Roman" w:hAnsi="Times New Roman"/>
          <w:szCs w:val="18"/>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szCs w:val="18"/>
          <w:lang w:val="en-GB"/>
        </w:rPr>
        <w:t>V</w:t>
      </w:r>
      <w:r w:rsidRPr="007724FA">
        <w:rPr>
          <w:rFonts w:ascii="Times New Roman" w:hAnsi="Times New Roman"/>
          <w:szCs w:val="18"/>
          <w:lang w:val="en-GB"/>
        </w:rPr>
        <w:t xml:space="preserve"> floor) and on </w:t>
      </w:r>
      <w:r w:rsidR="00A31202" w:rsidRPr="007724FA">
        <w:rPr>
          <w:rFonts w:ascii="Times New Roman" w:hAnsi="Times New Roman"/>
          <w:szCs w:val="18"/>
          <w:lang w:val="en-GB"/>
        </w:rPr>
        <w:t>her</w:t>
      </w:r>
      <w:r w:rsidRPr="007724FA">
        <w:rPr>
          <w:rFonts w:ascii="Times New Roman" w:hAnsi="Times New Roman"/>
          <w:szCs w:val="18"/>
          <w:lang w:val="en-GB"/>
        </w:rPr>
        <w:t xml:space="preserve"> university webpages. </w:t>
      </w:r>
      <w:r w:rsidRPr="007724FA">
        <w:rPr>
          <w:rFonts w:ascii="Times New Roman" w:hAnsi="Times New Roman"/>
          <w:szCs w:val="18"/>
          <w:lang w:val="en-US"/>
        </w:rPr>
        <w:t>Timetable variations will be comm</w:t>
      </w:r>
      <w:r w:rsidRPr="007724FA">
        <w:rPr>
          <w:szCs w:val="18"/>
          <w:lang w:val="en-US"/>
        </w:rPr>
        <w:t>unicated through the teacher</w:t>
      </w:r>
      <w:r w:rsidR="00081AC4" w:rsidRPr="007724FA">
        <w:rPr>
          <w:szCs w:val="18"/>
          <w:lang w:val="en-US"/>
        </w:rPr>
        <w:t xml:space="preserve">’s </w:t>
      </w:r>
      <w:r w:rsidRPr="007724FA">
        <w:rPr>
          <w:szCs w:val="18"/>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03BF" w14:textId="77777777" w:rsidR="00B71F1D" w:rsidRDefault="00B71F1D" w:rsidP="009329F4">
      <w:pPr>
        <w:spacing w:line="240" w:lineRule="auto"/>
      </w:pPr>
      <w:r>
        <w:separator/>
      </w:r>
    </w:p>
  </w:endnote>
  <w:endnote w:type="continuationSeparator" w:id="0">
    <w:p w14:paraId="38617049" w14:textId="77777777" w:rsidR="00B71F1D" w:rsidRDefault="00B71F1D"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C5A5" w14:textId="77777777" w:rsidR="00B71F1D" w:rsidRDefault="00B71F1D" w:rsidP="009329F4">
      <w:pPr>
        <w:spacing w:line="240" w:lineRule="auto"/>
      </w:pPr>
      <w:r>
        <w:separator/>
      </w:r>
    </w:p>
  </w:footnote>
  <w:footnote w:type="continuationSeparator" w:id="0">
    <w:p w14:paraId="3435E9C4" w14:textId="77777777" w:rsidR="00B71F1D" w:rsidRDefault="00B71F1D" w:rsidP="009329F4">
      <w:pPr>
        <w:spacing w:line="240" w:lineRule="auto"/>
      </w:pPr>
      <w:r>
        <w:continuationSeparator/>
      </w:r>
    </w:p>
  </w:footnote>
  <w:footnote w:id="1">
    <w:p w14:paraId="7E6461D5" w14:textId="77777777" w:rsidR="009329F4" w:rsidRDefault="009329F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D"/>
    <w:rsid w:val="000073CF"/>
    <w:rsid w:val="00081AC4"/>
    <w:rsid w:val="00187B99"/>
    <w:rsid w:val="002014DD"/>
    <w:rsid w:val="00207833"/>
    <w:rsid w:val="00244035"/>
    <w:rsid w:val="002D5E17"/>
    <w:rsid w:val="003C663A"/>
    <w:rsid w:val="004908AD"/>
    <w:rsid w:val="004D1217"/>
    <w:rsid w:val="004D6008"/>
    <w:rsid w:val="00640794"/>
    <w:rsid w:val="006F1772"/>
    <w:rsid w:val="007724FA"/>
    <w:rsid w:val="007A094A"/>
    <w:rsid w:val="00823415"/>
    <w:rsid w:val="00867FF4"/>
    <w:rsid w:val="008942E7"/>
    <w:rsid w:val="008A1204"/>
    <w:rsid w:val="00900CCA"/>
    <w:rsid w:val="00924B77"/>
    <w:rsid w:val="009329F4"/>
    <w:rsid w:val="00940DA2"/>
    <w:rsid w:val="009E055C"/>
    <w:rsid w:val="00A27BD1"/>
    <w:rsid w:val="00A31202"/>
    <w:rsid w:val="00A74F6F"/>
    <w:rsid w:val="00AD7557"/>
    <w:rsid w:val="00B261EF"/>
    <w:rsid w:val="00B3041E"/>
    <w:rsid w:val="00B50C5D"/>
    <w:rsid w:val="00B51253"/>
    <w:rsid w:val="00B525CC"/>
    <w:rsid w:val="00B71F1D"/>
    <w:rsid w:val="00D404F2"/>
    <w:rsid w:val="00D50923"/>
    <w:rsid w:val="00E607E6"/>
    <w:rsid w:val="00EA0143"/>
    <w:rsid w:val="00F67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rginia-pulcini/a-handbook-of-present-day-english-9788843090167-5508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E078-E9A3-4278-B1CF-2B52271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6</TotalTime>
  <Pages>3</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2021-05-31T06:47:00Z</dcterms:created>
  <dcterms:modified xsi:type="dcterms:W3CDTF">2021-05-31T13:00:00Z</dcterms:modified>
</cp:coreProperties>
</file>