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163F5" w14:textId="77777777" w:rsidR="002D5E17" w:rsidRDefault="00F30E23" w:rsidP="002D5E17">
      <w:pPr>
        <w:pStyle w:val="Titolo1"/>
      </w:pPr>
      <w:r>
        <w:t>Finanza aziendale</w:t>
      </w:r>
    </w:p>
    <w:p w14:paraId="55D488E4" w14:textId="77777777" w:rsidR="00F30E23" w:rsidRDefault="00F30E23" w:rsidP="00F30E23">
      <w:pPr>
        <w:pStyle w:val="Titolo2"/>
      </w:pPr>
      <w:r>
        <w:t>Prof. Massimo Giardina</w:t>
      </w:r>
    </w:p>
    <w:p w14:paraId="55947954" w14:textId="77777777" w:rsidR="00F30E23" w:rsidRDefault="00F30E23" w:rsidP="00F30E23">
      <w:pPr>
        <w:spacing w:before="240" w:after="120" w:line="240" w:lineRule="exact"/>
        <w:rPr>
          <w:b/>
          <w:i/>
          <w:sz w:val="18"/>
        </w:rPr>
      </w:pPr>
      <w:r>
        <w:rPr>
          <w:b/>
          <w:i/>
          <w:sz w:val="18"/>
        </w:rPr>
        <w:t>OBIETTIVO DEL CORSO E RISULTATI DI APPRENDIMENTO ATTESI</w:t>
      </w:r>
    </w:p>
    <w:p w14:paraId="3BFF77F0" w14:textId="77777777" w:rsidR="00F30E23" w:rsidRPr="00E574AE" w:rsidRDefault="00F30E23" w:rsidP="00E574AE">
      <w:pPr>
        <w:spacing w:line="240" w:lineRule="exact"/>
        <w:rPr>
          <w:rFonts w:ascii="Times" w:hAnsi="Times" w:cs="Times"/>
        </w:rPr>
      </w:pPr>
      <w:r w:rsidRPr="00E574AE">
        <w:rPr>
          <w:rFonts w:ascii="Times" w:hAnsi="Times" w:cs="Times"/>
        </w:rPr>
        <w:t>Fornire le conoscenze di base in tema di:</w:t>
      </w:r>
    </w:p>
    <w:p w14:paraId="52A905A8"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Analisi finanziaria.</w:t>
      </w:r>
    </w:p>
    <w:p w14:paraId="394AE535"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Grandezze economiche, patrimoniali e finanziarie delle imprese.</w:t>
      </w:r>
    </w:p>
    <w:p w14:paraId="094800AB"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Scelte di finanziamento delle imprese.</w:t>
      </w:r>
    </w:p>
    <w:p w14:paraId="2A4E4E81" w14:textId="77777777"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Strumenti di finanziamento a breve e m/l termine.</w:t>
      </w:r>
    </w:p>
    <w:p w14:paraId="19266F0D" w14:textId="6AE6B2E5" w:rsidR="00F30E23" w:rsidRPr="00E574AE" w:rsidRDefault="00F30E23" w:rsidP="00E574AE">
      <w:pPr>
        <w:spacing w:line="240" w:lineRule="exact"/>
        <w:ind w:left="284" w:hanging="284"/>
        <w:rPr>
          <w:rFonts w:ascii="Times" w:hAnsi="Times" w:cs="Times"/>
        </w:rPr>
      </w:pPr>
      <w:r w:rsidRPr="00E574AE">
        <w:rPr>
          <w:rFonts w:ascii="Times" w:hAnsi="Times" w:cs="Times"/>
        </w:rPr>
        <w:t>–</w:t>
      </w:r>
      <w:r w:rsidRPr="00E574AE">
        <w:rPr>
          <w:rFonts w:ascii="Times" w:hAnsi="Times" w:cs="Times"/>
        </w:rPr>
        <w:tab/>
        <w:t xml:space="preserve">Operazioni di </w:t>
      </w:r>
      <w:r w:rsidR="00993AC9">
        <w:rPr>
          <w:rFonts w:ascii="Times" w:hAnsi="Times" w:cs="Times"/>
        </w:rPr>
        <w:t>finanza</w:t>
      </w:r>
      <w:r w:rsidRPr="00E574AE">
        <w:rPr>
          <w:rFonts w:ascii="Times" w:hAnsi="Times" w:cs="Times"/>
        </w:rPr>
        <w:t xml:space="preserve"> straordinaria.</w:t>
      </w:r>
    </w:p>
    <w:p w14:paraId="727F046F" w14:textId="77777777" w:rsidR="00F30E23" w:rsidRPr="00E574AE" w:rsidRDefault="00F30E23" w:rsidP="00E574AE">
      <w:pPr>
        <w:tabs>
          <w:tab w:val="clear" w:pos="284"/>
        </w:tabs>
        <w:autoSpaceDE w:val="0"/>
        <w:autoSpaceDN w:val="0"/>
        <w:adjustRightInd w:val="0"/>
        <w:spacing w:before="120" w:line="240" w:lineRule="exact"/>
        <w:jc w:val="left"/>
        <w:rPr>
          <w:rFonts w:ascii="Times" w:hAnsi="Times" w:cs="Times"/>
        </w:rPr>
      </w:pPr>
      <w:r w:rsidRPr="00E574AE">
        <w:rPr>
          <w:rFonts w:ascii="Times" w:hAnsi="Times" w:cs="Times"/>
        </w:rPr>
        <w:t>Al termine dell'insegnamento, lo studente sarà in grado di:</w:t>
      </w:r>
    </w:p>
    <w:p w14:paraId="0DDA17CE"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Identificare le grandezze presenti in un’azienda.</w:t>
      </w:r>
    </w:p>
    <w:p w14:paraId="02CFE885"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Riconoscere le soluzioni pro tempore ottimali da implementare da parte dell’impresa per il raggiungimento degli equilibri economici e finanziari.</w:t>
      </w:r>
    </w:p>
    <w:p w14:paraId="7D17F002"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Distinguere le peculiarità delle operazioni di Finanza ordinaria e straordinaria.</w:t>
      </w:r>
    </w:p>
    <w:p w14:paraId="1A5F77B0"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Descrivere le operazioni ottimali prove</w:t>
      </w:r>
      <w:r>
        <w:rPr>
          <w:rFonts w:ascii="Times" w:hAnsi="Times" w:cs="Times"/>
        </w:rPr>
        <w:t>nienti dall’analisi effettuata.</w:t>
      </w:r>
    </w:p>
    <w:p w14:paraId="5B7F6830" w14:textId="77777777" w:rsidR="00F30E23" w:rsidRPr="00E574AE" w:rsidRDefault="00E574AE" w:rsidP="00E574AE">
      <w:pPr>
        <w:tabs>
          <w:tab w:val="clear" w:pos="284"/>
        </w:tabs>
        <w:autoSpaceDE w:val="0"/>
        <w:autoSpaceDN w:val="0"/>
        <w:adjustRightInd w:val="0"/>
        <w:spacing w:line="240" w:lineRule="exact"/>
        <w:ind w:left="284" w:hanging="284"/>
        <w:jc w:val="left"/>
        <w:rPr>
          <w:rFonts w:ascii="Times" w:hAnsi="Times" w:cs="Times"/>
        </w:rPr>
      </w:pPr>
      <w:r>
        <w:rPr>
          <w:rFonts w:ascii="Times" w:hAnsi="Times" w:cs="Times"/>
        </w:rPr>
        <w:t>–</w:t>
      </w:r>
      <w:r>
        <w:rPr>
          <w:rFonts w:ascii="Times" w:hAnsi="Times" w:cs="Times"/>
        </w:rPr>
        <w:tab/>
      </w:r>
      <w:r w:rsidR="00F30E23" w:rsidRPr="00E574AE">
        <w:rPr>
          <w:rFonts w:ascii="Times" w:hAnsi="Times" w:cs="Times"/>
        </w:rPr>
        <w:t>Esprimere un giudizio sull’adeguatezza delle soluzioni apportate.</w:t>
      </w:r>
    </w:p>
    <w:p w14:paraId="41CCDDB1" w14:textId="77777777" w:rsidR="00F30E23" w:rsidRDefault="00F30E23" w:rsidP="00F30E23">
      <w:pPr>
        <w:spacing w:before="240" w:after="120" w:line="240" w:lineRule="exact"/>
        <w:rPr>
          <w:b/>
          <w:i/>
          <w:sz w:val="18"/>
        </w:rPr>
      </w:pPr>
      <w:r>
        <w:rPr>
          <w:b/>
          <w:i/>
          <w:sz w:val="18"/>
        </w:rPr>
        <w:t>PROGRAMMA DEL CORSO</w:t>
      </w:r>
    </w:p>
    <w:p w14:paraId="6B61AA7C" w14:textId="77777777" w:rsidR="00F30E23" w:rsidRPr="00FC4CBB" w:rsidRDefault="00F30E23" w:rsidP="00FC4CBB">
      <w:pPr>
        <w:spacing w:line="240" w:lineRule="exact"/>
        <w:rPr>
          <w:rFonts w:ascii="Times" w:hAnsi="Times"/>
          <w:smallCaps/>
          <w:noProof/>
          <w:sz w:val="18"/>
          <w:szCs w:val="20"/>
        </w:rPr>
      </w:pPr>
      <w:r w:rsidRPr="00FC4CBB">
        <w:rPr>
          <w:rFonts w:ascii="Times" w:hAnsi="Times"/>
          <w:smallCaps/>
          <w:noProof/>
          <w:sz w:val="18"/>
          <w:szCs w:val="20"/>
        </w:rPr>
        <w:t>I sezione</w:t>
      </w:r>
    </w:p>
    <w:p w14:paraId="1CD6596D"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Le scelte di finanziamento delle imprese.</w:t>
      </w:r>
    </w:p>
    <w:p w14:paraId="6631602B"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Le riclassificazioni dello Stato Patrimoniale e del Conto Economico.</w:t>
      </w:r>
    </w:p>
    <w:p w14:paraId="0F434CF5"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Gli indicatori di redditività, liquidità e solidità patrimoniale.</w:t>
      </w:r>
    </w:p>
    <w:p w14:paraId="23EC05BB"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Dinamica dei flussi finanziari.</w:t>
      </w:r>
    </w:p>
    <w:p w14:paraId="30A4AFA6"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La nozione di CCN operativo.</w:t>
      </w:r>
    </w:p>
    <w:p w14:paraId="38F34F8B"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La nozione di WACC e di leva finanziaria.</w:t>
      </w:r>
    </w:p>
    <w:p w14:paraId="693F51F9" w14:textId="77777777" w:rsidR="00F30E23" w:rsidRPr="00FC4CBB" w:rsidRDefault="00F30E23" w:rsidP="00FC4CBB">
      <w:pPr>
        <w:spacing w:before="120" w:line="240" w:lineRule="exact"/>
        <w:rPr>
          <w:rFonts w:ascii="Times" w:hAnsi="Times"/>
          <w:smallCaps/>
          <w:noProof/>
          <w:sz w:val="18"/>
          <w:szCs w:val="20"/>
        </w:rPr>
      </w:pPr>
      <w:r w:rsidRPr="00FC4CBB">
        <w:rPr>
          <w:rFonts w:ascii="Times" w:hAnsi="Times"/>
          <w:smallCaps/>
          <w:noProof/>
          <w:sz w:val="18"/>
          <w:szCs w:val="20"/>
        </w:rPr>
        <w:t>II sezione</w:t>
      </w:r>
    </w:p>
    <w:p w14:paraId="3D38AC6D"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L’istruttoria di fido e la Centrale Rischi.</w:t>
      </w:r>
    </w:p>
    <w:p w14:paraId="423BABD0"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Gli strumenti di pagamento e di incasso commerciale.</w:t>
      </w:r>
    </w:p>
    <w:p w14:paraId="063B18B7"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Apertura di credito in conto corrente, anticipi su fatture, sconto cambiario.</w:t>
      </w:r>
    </w:p>
    <w:p w14:paraId="242FE944"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Factoring.</w:t>
      </w:r>
    </w:p>
    <w:p w14:paraId="5D14A5CD"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Il finanziamento dei capitali fissi: mutui e leasing finanziario-operativo.</w:t>
      </w:r>
    </w:p>
    <w:p w14:paraId="7C2989FA" w14:textId="77777777" w:rsidR="00F30E23" w:rsidRPr="00FC4CBB" w:rsidRDefault="00F30E23" w:rsidP="00FC4CBB">
      <w:pPr>
        <w:spacing w:before="120" w:line="240" w:lineRule="exact"/>
        <w:rPr>
          <w:rFonts w:ascii="Times" w:hAnsi="Times"/>
          <w:smallCaps/>
          <w:noProof/>
          <w:sz w:val="18"/>
          <w:szCs w:val="20"/>
        </w:rPr>
      </w:pPr>
      <w:r w:rsidRPr="00FC4CBB">
        <w:rPr>
          <w:rFonts w:ascii="Times" w:hAnsi="Times"/>
          <w:smallCaps/>
          <w:noProof/>
          <w:sz w:val="18"/>
          <w:szCs w:val="20"/>
        </w:rPr>
        <w:t>III sezione</w:t>
      </w:r>
    </w:p>
    <w:p w14:paraId="609F3A39" w14:textId="2D2B9226"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r>
      <w:r w:rsidR="00993AC9">
        <w:rPr>
          <w:rFonts w:ascii="Times" w:hAnsi="Times" w:cs="Times"/>
        </w:rPr>
        <w:t>La crisi d’impresa</w:t>
      </w:r>
      <w:r w:rsidRPr="00FC4CBB">
        <w:rPr>
          <w:rFonts w:ascii="Times" w:hAnsi="Times" w:cs="Times"/>
        </w:rPr>
        <w:t>.</w:t>
      </w:r>
    </w:p>
    <w:p w14:paraId="57898707" w14:textId="77777777" w:rsidR="00F30E23" w:rsidRPr="00FC4CBB" w:rsidRDefault="00F30E23" w:rsidP="00FC4CBB">
      <w:pPr>
        <w:spacing w:line="240" w:lineRule="exact"/>
        <w:rPr>
          <w:rFonts w:ascii="Times" w:hAnsi="Times" w:cs="Times"/>
        </w:rPr>
      </w:pPr>
      <w:r w:rsidRPr="00FC4CBB">
        <w:rPr>
          <w:rFonts w:ascii="Times" w:hAnsi="Times" w:cs="Times"/>
        </w:rPr>
        <w:t>–</w:t>
      </w:r>
      <w:r w:rsidRPr="00FC4CBB">
        <w:rPr>
          <w:rFonts w:ascii="Times" w:hAnsi="Times" w:cs="Times"/>
        </w:rPr>
        <w:tab/>
        <w:t>Il processo di quotazione in borsa.</w:t>
      </w:r>
    </w:p>
    <w:p w14:paraId="520E0E14" w14:textId="7E637849" w:rsidR="00F30E23" w:rsidRPr="000E259C" w:rsidRDefault="00F30E23" w:rsidP="00FC4CBB">
      <w:pPr>
        <w:spacing w:line="240" w:lineRule="exact"/>
        <w:rPr>
          <w:rFonts w:ascii="Times" w:hAnsi="Times" w:cs="Times"/>
          <w:lang w:val="en-US"/>
        </w:rPr>
      </w:pPr>
      <w:r w:rsidRPr="000E259C">
        <w:rPr>
          <w:rFonts w:ascii="Times" w:hAnsi="Times" w:cs="Times"/>
          <w:lang w:val="en-US"/>
        </w:rPr>
        <w:t>–</w:t>
      </w:r>
      <w:r w:rsidRPr="000E259C">
        <w:rPr>
          <w:rFonts w:ascii="Times" w:hAnsi="Times" w:cs="Times"/>
          <w:lang w:val="en-US"/>
        </w:rPr>
        <w:tab/>
        <w:t>Private equity</w:t>
      </w:r>
      <w:r w:rsidRPr="000E259C">
        <w:rPr>
          <w:rFonts w:ascii="Times" w:hAnsi="Times" w:cs="Times"/>
          <w:i/>
          <w:lang w:val="en-US"/>
        </w:rPr>
        <w:t>.</w:t>
      </w:r>
    </w:p>
    <w:p w14:paraId="0B72D8F2" w14:textId="77777777" w:rsidR="00F30E23" w:rsidRPr="007732F9" w:rsidRDefault="00F30E23" w:rsidP="00FC4CBB">
      <w:pPr>
        <w:spacing w:line="240" w:lineRule="exact"/>
        <w:rPr>
          <w:rFonts w:ascii="Times" w:hAnsi="Times" w:cs="Times"/>
          <w:b/>
          <w:i/>
        </w:rPr>
      </w:pPr>
      <w:r w:rsidRPr="007732F9">
        <w:rPr>
          <w:rFonts w:ascii="Times" w:hAnsi="Times" w:cs="Times"/>
        </w:rPr>
        <w:lastRenderedPageBreak/>
        <w:t>–</w:t>
      </w:r>
      <w:r w:rsidRPr="007732F9">
        <w:rPr>
          <w:rFonts w:ascii="Times" w:hAnsi="Times" w:cs="Times"/>
        </w:rPr>
        <w:tab/>
        <w:t xml:space="preserve">Il </w:t>
      </w:r>
      <w:proofErr w:type="spellStart"/>
      <w:r w:rsidRPr="007732F9">
        <w:rPr>
          <w:rFonts w:ascii="Times" w:hAnsi="Times" w:cs="Times"/>
        </w:rPr>
        <w:t>leveraged</w:t>
      </w:r>
      <w:proofErr w:type="spellEnd"/>
      <w:r w:rsidRPr="007732F9">
        <w:rPr>
          <w:rFonts w:ascii="Times" w:hAnsi="Times" w:cs="Times"/>
        </w:rPr>
        <w:t xml:space="preserve"> buyout.</w:t>
      </w:r>
    </w:p>
    <w:p w14:paraId="4FF9802D" w14:textId="12C24FBC" w:rsidR="00F30E23" w:rsidRDefault="00F30E23" w:rsidP="00F30E23">
      <w:pPr>
        <w:spacing w:before="240" w:after="120"/>
        <w:rPr>
          <w:b/>
          <w:i/>
          <w:sz w:val="18"/>
        </w:rPr>
      </w:pPr>
      <w:r>
        <w:rPr>
          <w:b/>
          <w:i/>
          <w:sz w:val="18"/>
        </w:rPr>
        <w:t>BIBLIOGRAFIA</w:t>
      </w:r>
      <w:r w:rsidR="000E259C">
        <w:rPr>
          <w:rStyle w:val="Rimandonotaapidipagina"/>
          <w:b/>
          <w:i/>
          <w:sz w:val="18"/>
        </w:rPr>
        <w:footnoteReference w:id="1"/>
      </w:r>
    </w:p>
    <w:p w14:paraId="0AD908F4" w14:textId="77777777" w:rsidR="007732F9" w:rsidRDefault="007732F9" w:rsidP="007732F9">
      <w:pPr>
        <w:pStyle w:val="Testo1"/>
      </w:pPr>
      <w:r w:rsidRPr="003E68C5">
        <w:t>Materiale fornito dal docente durante lo svolgimento delle lezioni e reperi</w:t>
      </w:r>
      <w:r>
        <w:t xml:space="preserve">bile su </w:t>
      </w:r>
      <w:r w:rsidRPr="006C3FDB">
        <w:rPr>
          <w:i/>
        </w:rPr>
        <w:t>Blackboard</w:t>
      </w:r>
      <w:r>
        <w:t>.</w:t>
      </w:r>
    </w:p>
    <w:p w14:paraId="43393FBF" w14:textId="2E1DCFDE" w:rsidR="007732F9" w:rsidRPr="003E68C5" w:rsidRDefault="007732F9" w:rsidP="007732F9">
      <w:pPr>
        <w:pStyle w:val="Testo1"/>
        <w:spacing w:before="0" w:line="240" w:lineRule="atLeast"/>
        <w:rPr>
          <w:spacing w:val="-5"/>
        </w:rPr>
      </w:pPr>
      <w:r w:rsidRPr="003E68C5">
        <w:rPr>
          <w:smallCaps/>
          <w:spacing w:val="-5"/>
          <w:sz w:val="16"/>
        </w:rPr>
        <w:t>M. Giardina,</w:t>
      </w:r>
      <w:r w:rsidRPr="003E68C5">
        <w:rPr>
          <w:i/>
          <w:spacing w:val="-5"/>
        </w:rPr>
        <w:t xml:space="preserve"> Corso di Finanza Aziendale,</w:t>
      </w:r>
      <w:r w:rsidRPr="003E68C5">
        <w:rPr>
          <w:spacing w:val="-5"/>
        </w:rPr>
        <w:t xml:space="preserve"> </w:t>
      </w:r>
      <w:hyperlink r:id="rId8" w:history="1">
        <w:r w:rsidRPr="000E259C">
          <w:rPr>
            <w:rStyle w:val="Collegamentoipertestuale"/>
            <w:i/>
            <w:sz w:val="16"/>
            <w:szCs w:val="16"/>
          </w:rPr>
          <w:t>Acquista da VP</w:t>
        </w:r>
      </w:hyperlink>
      <w:r>
        <w:rPr>
          <w:rStyle w:val="Collegamentoipertestuale"/>
          <w:i/>
          <w:sz w:val="16"/>
          <w:szCs w:val="16"/>
        </w:rPr>
        <w:t xml:space="preserve"> </w:t>
      </w:r>
      <w:r w:rsidRPr="003E68C5">
        <w:rPr>
          <w:spacing w:val="-5"/>
        </w:rPr>
        <w:t xml:space="preserve">Estratto da: </w:t>
      </w:r>
      <w:r w:rsidRPr="003E68C5">
        <w:rPr>
          <w:smallCaps/>
          <w:spacing w:val="-5"/>
          <w:sz w:val="16"/>
        </w:rPr>
        <w:t>M. Dallocchio-A. Salvi</w:t>
      </w:r>
      <w:r w:rsidRPr="003E68C5">
        <w:rPr>
          <w:spacing w:val="-5"/>
        </w:rPr>
        <w:t xml:space="preserve">, </w:t>
      </w:r>
      <w:r w:rsidRPr="003E68C5">
        <w:rPr>
          <w:i/>
          <w:spacing w:val="-5"/>
        </w:rPr>
        <w:t>Finanza Aziendale</w:t>
      </w:r>
      <w:r w:rsidRPr="003E68C5">
        <w:rPr>
          <w:spacing w:val="-5"/>
        </w:rPr>
        <w:t>;</w:t>
      </w:r>
      <w:r>
        <w:rPr>
          <w:spacing w:val="-5"/>
        </w:rPr>
        <w:t xml:space="preserve"> </w:t>
      </w:r>
      <w:r w:rsidRPr="003E68C5">
        <w:rPr>
          <w:smallCaps/>
          <w:spacing w:val="-5"/>
          <w:sz w:val="16"/>
        </w:rPr>
        <w:t>G. Forestieri</w:t>
      </w:r>
      <w:r w:rsidRPr="003E68C5">
        <w:rPr>
          <w:spacing w:val="-5"/>
        </w:rPr>
        <w:t xml:space="preserve">, </w:t>
      </w:r>
      <w:r w:rsidRPr="003E68C5">
        <w:rPr>
          <w:i/>
          <w:spacing w:val="-5"/>
        </w:rPr>
        <w:t>Corporate &amp; Investment banking</w:t>
      </w:r>
      <w:r w:rsidRPr="003E68C5">
        <w:rPr>
          <w:spacing w:val="-5"/>
        </w:rPr>
        <w:t>; EGEA, Milano (disponibile solo in Vita e Pensiero)</w:t>
      </w:r>
      <w:r>
        <w:rPr>
          <w:spacing w:val="-5"/>
        </w:rPr>
        <w:t>.</w:t>
      </w:r>
    </w:p>
    <w:p w14:paraId="064F6AB1" w14:textId="25098EC0" w:rsidR="007732F9" w:rsidRPr="00F30E23" w:rsidRDefault="007732F9" w:rsidP="007732F9">
      <w:pPr>
        <w:pStyle w:val="Testo1"/>
        <w:spacing w:before="0" w:line="240" w:lineRule="atLeast"/>
        <w:ind w:left="0" w:firstLine="0"/>
        <w:rPr>
          <w:spacing w:val="-5"/>
        </w:rPr>
      </w:pPr>
      <w:r w:rsidRPr="003E68C5">
        <w:rPr>
          <w:smallCaps/>
          <w:spacing w:val="-5"/>
          <w:sz w:val="16"/>
        </w:rPr>
        <w:t>M. Borroni-M. Oriani,</w:t>
      </w:r>
      <w:r w:rsidRPr="003E68C5">
        <w:rPr>
          <w:i/>
          <w:spacing w:val="-5"/>
        </w:rPr>
        <w:t xml:space="preserve"> Le operazioni bancarie,</w:t>
      </w:r>
      <w:r w:rsidRPr="003E68C5">
        <w:rPr>
          <w:spacing w:val="-5"/>
        </w:rPr>
        <w:t xml:space="preserve"> Il Mulino, Bologna</w:t>
      </w:r>
      <w:r>
        <w:rPr>
          <w:spacing w:val="-5"/>
        </w:rPr>
        <w:t xml:space="preserve">, ultima edizione. </w:t>
      </w:r>
      <w:hyperlink r:id="rId9" w:history="1">
        <w:r w:rsidRPr="000C024E">
          <w:rPr>
            <w:rStyle w:val="Collegamentoipertestuale"/>
            <w:i/>
            <w:sz w:val="16"/>
            <w:szCs w:val="16"/>
          </w:rPr>
          <w:t>Acquista da VP</w:t>
        </w:r>
      </w:hyperlink>
      <w:bookmarkStart w:id="0" w:name="_GoBack"/>
      <w:bookmarkEnd w:id="0"/>
    </w:p>
    <w:p w14:paraId="117E2332" w14:textId="77777777" w:rsidR="00F30E23" w:rsidRDefault="00F30E23" w:rsidP="00F30E23">
      <w:pPr>
        <w:spacing w:before="240" w:after="120"/>
        <w:rPr>
          <w:b/>
          <w:i/>
          <w:sz w:val="18"/>
        </w:rPr>
      </w:pPr>
      <w:r>
        <w:rPr>
          <w:b/>
          <w:i/>
          <w:sz w:val="18"/>
        </w:rPr>
        <w:t>DIDATTICA DEL CORSO</w:t>
      </w:r>
    </w:p>
    <w:p w14:paraId="2F18DD7A" w14:textId="77777777" w:rsidR="00F30E23" w:rsidRPr="00F30E23" w:rsidRDefault="00F30E23" w:rsidP="00F30E23">
      <w:pPr>
        <w:pStyle w:val="Testo2"/>
      </w:pPr>
      <w:r>
        <w:t>Lezioni frontali e possibili testimonianze di operatori del settore.</w:t>
      </w:r>
    </w:p>
    <w:p w14:paraId="67F56084" w14:textId="77777777" w:rsidR="00F30E23" w:rsidRDefault="00F30E23" w:rsidP="00F30E23">
      <w:pPr>
        <w:spacing w:before="240" w:after="120"/>
        <w:rPr>
          <w:b/>
          <w:i/>
          <w:sz w:val="18"/>
        </w:rPr>
      </w:pPr>
      <w:r>
        <w:rPr>
          <w:b/>
          <w:i/>
          <w:sz w:val="18"/>
        </w:rPr>
        <w:t>METODO E CRITERI DI VALUTAZIONE</w:t>
      </w:r>
    </w:p>
    <w:p w14:paraId="4B84A7EE" w14:textId="77777777" w:rsidR="00F30E23" w:rsidRPr="003E68C5" w:rsidRDefault="00F30E23" w:rsidP="00F30E23">
      <w:pPr>
        <w:pStyle w:val="Testo2"/>
      </w:pPr>
      <w:r w:rsidRPr="003E68C5">
        <w:t>L’esame dovrà essere sostenuto con un'interrogazione orale: al candidato verrà data la possibilità di scegliere un argomento a propria discrezione su una sezione scelta del docente (solo per la seconda e terza sezione). La seconda domanda verterà su un argomento scelto dal docente inerente alla sezione non considerata nella prima domanda. La terza domanda riguarda la prima sezione. Ogni domanda ha pari peso.</w:t>
      </w:r>
    </w:p>
    <w:p w14:paraId="3B2B3897" w14:textId="77777777" w:rsidR="00F30E23" w:rsidRDefault="00F30E23" w:rsidP="00F30E23">
      <w:pPr>
        <w:pStyle w:val="Testo2"/>
      </w:pPr>
      <w:r w:rsidRPr="003E68C5">
        <w:t>La prova verrà valutata in trentesimi e il voto finale terrà conto dell’esattezza e della qualità delle risposte (70%), nonché dell’abilità comunicativa e della capacità di motivare adeguatamente affermazioni, analisi e giudizi mostrata durante il colloquio (30%).</w:t>
      </w:r>
    </w:p>
    <w:p w14:paraId="0426DE9D" w14:textId="77777777" w:rsidR="00F30E23" w:rsidRPr="00F30E23" w:rsidRDefault="00F30E23" w:rsidP="00F30E23">
      <w:pPr>
        <w:pStyle w:val="Testo2"/>
      </w:pPr>
      <w:r>
        <w:t>Il docente può decidere di far sostenere la prova d’esame in forma scritta adottando i medesimi criteri dell’interrogazione orale.</w:t>
      </w:r>
    </w:p>
    <w:p w14:paraId="6236D3C5" w14:textId="77777777" w:rsidR="00F30E23" w:rsidRDefault="00F30E23" w:rsidP="00F30E23">
      <w:pPr>
        <w:spacing w:before="240" w:after="120" w:line="240" w:lineRule="exact"/>
        <w:rPr>
          <w:b/>
          <w:i/>
          <w:sz w:val="18"/>
        </w:rPr>
      </w:pPr>
      <w:r>
        <w:rPr>
          <w:b/>
          <w:i/>
          <w:sz w:val="18"/>
        </w:rPr>
        <w:t>AVVERTENZE E PREREQUISITI</w:t>
      </w:r>
    </w:p>
    <w:p w14:paraId="50CC0772" w14:textId="77777777" w:rsidR="00AA2540" w:rsidRDefault="00AA2540" w:rsidP="00AA2540">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C67293F" w14:textId="44BB8F55" w:rsidR="00F30E23" w:rsidRDefault="00F30E23" w:rsidP="00AA2540">
      <w:pPr>
        <w:pStyle w:val="Testo2"/>
        <w:spacing w:before="120"/>
      </w:pPr>
      <w:r>
        <w:rPr>
          <w:i/>
        </w:rPr>
        <w:t>Orario e luogo di ricevimento</w:t>
      </w:r>
    </w:p>
    <w:p w14:paraId="4CA63951" w14:textId="343EE340" w:rsidR="00F30E23" w:rsidRPr="00F30E23" w:rsidRDefault="00F30E23" w:rsidP="00F30E23">
      <w:pPr>
        <w:pStyle w:val="Testo2"/>
      </w:pPr>
      <w:r w:rsidRPr="00710E95">
        <w:t>Il Prof. Massimo Giardina riceve gli studenti presso il Dipartimento Segesta (secondo piano, uff. A202) per appuntamento da concordare via e-mail.</w:t>
      </w:r>
      <w:r w:rsidR="00E36380">
        <w:t xml:space="preserve"> </w:t>
      </w:r>
      <w:r w:rsidR="00E36380">
        <w:rPr>
          <w:rFonts w:cs="Times"/>
        </w:rPr>
        <w:t>Nel caso di impossibilità del docente o degli studenti è possibile dar luogo al ricevimento per via remota.</w:t>
      </w:r>
    </w:p>
    <w:sectPr w:rsidR="00F30E23" w:rsidRPr="00F30E2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D6496" w14:textId="77777777" w:rsidR="000E259C" w:rsidRDefault="000E259C" w:rsidP="000E259C">
      <w:pPr>
        <w:spacing w:line="240" w:lineRule="auto"/>
      </w:pPr>
      <w:r>
        <w:separator/>
      </w:r>
    </w:p>
  </w:endnote>
  <w:endnote w:type="continuationSeparator" w:id="0">
    <w:p w14:paraId="2606D68D" w14:textId="77777777" w:rsidR="000E259C" w:rsidRDefault="000E259C" w:rsidP="000E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0B2FE" w14:textId="77777777" w:rsidR="000E259C" w:rsidRDefault="000E259C" w:rsidP="000E259C">
      <w:pPr>
        <w:spacing w:line="240" w:lineRule="auto"/>
      </w:pPr>
      <w:r>
        <w:separator/>
      </w:r>
    </w:p>
  </w:footnote>
  <w:footnote w:type="continuationSeparator" w:id="0">
    <w:p w14:paraId="00D155F1" w14:textId="77777777" w:rsidR="000E259C" w:rsidRDefault="000E259C" w:rsidP="000E259C">
      <w:pPr>
        <w:spacing w:line="240" w:lineRule="auto"/>
      </w:pPr>
      <w:r>
        <w:continuationSeparator/>
      </w:r>
    </w:p>
  </w:footnote>
  <w:footnote w:id="1">
    <w:p w14:paraId="672B18EA" w14:textId="77777777" w:rsidR="000E259C" w:rsidRPr="001D7759" w:rsidRDefault="000E259C" w:rsidP="000E259C">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379A44E" w14:textId="3DBBC2C0" w:rsidR="000E259C" w:rsidRDefault="000E259C">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7D"/>
    <w:rsid w:val="000B0B6B"/>
    <w:rsid w:val="000C024E"/>
    <w:rsid w:val="000C51AF"/>
    <w:rsid w:val="000E259C"/>
    <w:rsid w:val="00187B99"/>
    <w:rsid w:val="002014DD"/>
    <w:rsid w:val="002C56FF"/>
    <w:rsid w:val="002D5E17"/>
    <w:rsid w:val="004D1217"/>
    <w:rsid w:val="004D6008"/>
    <w:rsid w:val="00640794"/>
    <w:rsid w:val="006F1772"/>
    <w:rsid w:val="0074166D"/>
    <w:rsid w:val="007732F9"/>
    <w:rsid w:val="007E3443"/>
    <w:rsid w:val="008942E7"/>
    <w:rsid w:val="008A1204"/>
    <w:rsid w:val="00900CCA"/>
    <w:rsid w:val="00924B77"/>
    <w:rsid w:val="00940DA2"/>
    <w:rsid w:val="00993AC9"/>
    <w:rsid w:val="009E055C"/>
    <w:rsid w:val="00A74F6F"/>
    <w:rsid w:val="00AA2540"/>
    <w:rsid w:val="00AD7557"/>
    <w:rsid w:val="00B50C5D"/>
    <w:rsid w:val="00B51253"/>
    <w:rsid w:val="00B525CC"/>
    <w:rsid w:val="00BC48DF"/>
    <w:rsid w:val="00D404F2"/>
    <w:rsid w:val="00E0247D"/>
    <w:rsid w:val="00E36380"/>
    <w:rsid w:val="00E574AE"/>
    <w:rsid w:val="00E607E6"/>
    <w:rsid w:val="00F30E23"/>
    <w:rsid w:val="00FC4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E259C"/>
    <w:pPr>
      <w:spacing w:line="240" w:lineRule="auto"/>
    </w:pPr>
    <w:rPr>
      <w:szCs w:val="20"/>
    </w:rPr>
  </w:style>
  <w:style w:type="character" w:customStyle="1" w:styleId="TestonotaapidipaginaCarattere">
    <w:name w:val="Testo nota a piè di pagina Carattere"/>
    <w:basedOn w:val="Carpredefinitoparagrafo"/>
    <w:link w:val="Testonotaapidipagina"/>
    <w:rsid w:val="000E259C"/>
  </w:style>
  <w:style w:type="character" w:styleId="Rimandonotaapidipagina">
    <w:name w:val="footnote reference"/>
    <w:basedOn w:val="Carpredefinitoparagrafo"/>
    <w:rsid w:val="000E259C"/>
    <w:rPr>
      <w:vertAlign w:val="superscript"/>
    </w:rPr>
  </w:style>
  <w:style w:type="character" w:styleId="Collegamentoipertestuale">
    <w:name w:val="Hyperlink"/>
    <w:basedOn w:val="Carpredefinitoparagrafo"/>
    <w:rsid w:val="000E259C"/>
    <w:rPr>
      <w:color w:val="0563C1" w:themeColor="hyperlink"/>
      <w:u w:val="single"/>
    </w:rPr>
  </w:style>
  <w:style w:type="character" w:styleId="Collegamentovisitato">
    <w:name w:val="FollowedHyperlink"/>
    <w:basedOn w:val="Carpredefinitoparagrafo"/>
    <w:semiHidden/>
    <w:unhideWhenUsed/>
    <w:rsid w:val="000C02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E259C"/>
    <w:pPr>
      <w:spacing w:line="240" w:lineRule="auto"/>
    </w:pPr>
    <w:rPr>
      <w:szCs w:val="20"/>
    </w:rPr>
  </w:style>
  <w:style w:type="character" w:customStyle="1" w:styleId="TestonotaapidipaginaCarattere">
    <w:name w:val="Testo nota a piè di pagina Carattere"/>
    <w:basedOn w:val="Carpredefinitoparagrafo"/>
    <w:link w:val="Testonotaapidipagina"/>
    <w:rsid w:val="000E259C"/>
  </w:style>
  <w:style w:type="character" w:styleId="Rimandonotaapidipagina">
    <w:name w:val="footnote reference"/>
    <w:basedOn w:val="Carpredefinitoparagrafo"/>
    <w:rsid w:val="000E259C"/>
    <w:rPr>
      <w:vertAlign w:val="superscript"/>
    </w:rPr>
  </w:style>
  <w:style w:type="character" w:styleId="Collegamentoipertestuale">
    <w:name w:val="Hyperlink"/>
    <w:basedOn w:val="Carpredefinitoparagrafo"/>
    <w:rsid w:val="000E259C"/>
    <w:rPr>
      <w:color w:val="0563C1" w:themeColor="hyperlink"/>
      <w:u w:val="single"/>
    </w:rPr>
  </w:style>
  <w:style w:type="character" w:styleId="Collegamentovisitato">
    <w:name w:val="FollowedHyperlink"/>
    <w:basedOn w:val="Carpredefinitoparagrafo"/>
    <w:semiHidden/>
    <w:unhideWhenUsed/>
    <w:rsid w:val="000C0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rdina-massimo/corso-di-finanza-aziendale-estratto-2018-9788823891548-55093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iarosa-borroni-marco-oriani/le-operazioni-bancarie-9788815284976-6808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ED10-F1FF-47A6-93FD-557C9CAC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480</Words>
  <Characters>3268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2021-04-22T13:18:00Z</dcterms:created>
  <dcterms:modified xsi:type="dcterms:W3CDTF">2021-08-30T11:00:00Z</dcterms:modified>
</cp:coreProperties>
</file>