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C7BE0" w14:textId="77777777" w:rsidR="00E60CA0" w:rsidRDefault="00E60CA0" w:rsidP="00E60CA0">
      <w:pPr>
        <w:pStyle w:val="Titolo1"/>
      </w:pPr>
      <w:r w:rsidRPr="00897D5A">
        <w:t>Economia e tecnica della comunicazione aziendale</w:t>
      </w:r>
    </w:p>
    <w:p w14:paraId="2AB923CE" w14:textId="77777777" w:rsidR="00E60CA0" w:rsidRDefault="00E60CA0" w:rsidP="00E60CA0">
      <w:pPr>
        <w:pStyle w:val="Titolo2"/>
      </w:pPr>
      <w:r w:rsidRPr="00F82642">
        <w:t>Prof. Rossella Chiara Gambetti</w:t>
      </w:r>
    </w:p>
    <w:p w14:paraId="1B9F711A" w14:textId="72240082" w:rsidR="006F1772" w:rsidRDefault="00E60CA0" w:rsidP="00E60CA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CA7EB0">
        <w:rPr>
          <w:b/>
          <w:i/>
          <w:sz w:val="18"/>
        </w:rPr>
        <w:t xml:space="preserve"> E RISULTATI DI APPRENDIMENTO ATTESI</w:t>
      </w:r>
    </w:p>
    <w:p w14:paraId="4EC2AF10" w14:textId="77777777" w:rsidR="00E60CA0" w:rsidRDefault="00E60CA0" w:rsidP="00E60CA0">
      <w:r>
        <w:t>Il corso intende illustrare agli studenti i principali approcci teorico-concettuali adottati nel contesto internazionale nei confronti della comunicazione aziendale intesa come attività strategica per il governo dell’azienda.</w:t>
      </w:r>
    </w:p>
    <w:p w14:paraId="1DC2D0A2" w14:textId="77777777" w:rsidR="00E60CA0" w:rsidRDefault="00E60CA0" w:rsidP="00E60CA0">
      <w:r>
        <w:t>A tal proposito, il corso è volto - in primo luogo - ad analizzare criticamente i più significativi orientamenti concettuali adottati nei confronti della comunicazione aziendale nella letteratura internazionale, al fine di evidenziarne analogie, differenze, aspetti innovativi e punti di debolezza.</w:t>
      </w:r>
    </w:p>
    <w:p w14:paraId="55CA85D5" w14:textId="748C9528" w:rsidR="00E60CA0" w:rsidRDefault="00E60CA0" w:rsidP="00E60CA0">
      <w:r>
        <w:t>In secondo luogo, il corso prevede un ampio modulo monografico che analizza con un approccio multidisciplinare (socio-</w:t>
      </w:r>
      <w:r w:rsidR="00CA7EB0">
        <w:t>culturale</w:t>
      </w:r>
      <w:r>
        <w:t xml:space="preserve"> e manageriale) il ruolo strategico svolto dalla marca nell’attuale contesto competitivo, così come le sfide che ne stimolano una continua evoluzione per consentire alle aziende di conseguire un vantaggio differenziale. A tal proposito, della marca si propongono sia un’analisi del concetto, delle funzioni </w:t>
      </w:r>
      <w:r w:rsidR="00CA7EB0">
        <w:t>svolte nel corso del</w:t>
      </w:r>
      <w:r>
        <w:t xml:space="preserve"> tempo, della brand identity e del posizionamento, sia l’illustrazione delle più attuali </w:t>
      </w:r>
      <w:r w:rsidR="00CA7EB0">
        <w:t xml:space="preserve">ed emergenti </w:t>
      </w:r>
      <w:r>
        <w:t xml:space="preserve">strategie attuate a livello comunicativo per instaurare una relazione </w:t>
      </w:r>
      <w:r w:rsidR="00CA7EB0">
        <w:t>efficace</w:t>
      </w:r>
      <w:r>
        <w:t xml:space="preserve"> con </w:t>
      </w:r>
      <w:r w:rsidR="008C20C6">
        <w:t xml:space="preserve">un </w:t>
      </w:r>
      <w:r>
        <w:t>consumatore</w:t>
      </w:r>
      <w:r w:rsidR="008C20C6">
        <w:t xml:space="preserve"> sempre più attivo e consapevole</w:t>
      </w:r>
      <w:r>
        <w:t>.</w:t>
      </w:r>
    </w:p>
    <w:p w14:paraId="34AEA68B" w14:textId="7B6442DA" w:rsidR="00CA7EB0" w:rsidRDefault="00CA7EB0" w:rsidP="00E60CA0">
      <w:r>
        <w:t xml:space="preserve">Al termine dell’insegnamento lo studente avrà acquisito le conoscenze </w:t>
      </w:r>
      <w:r w:rsidR="00DF35BD">
        <w:t xml:space="preserve">necessarie alla comprensione sia del ruolo strategico che la comunicazione svolge all’interno e all’esterno dell’impresa verso il sistema degli stakeholder, sia della molteplicità dei touch-point e delle modalità </w:t>
      </w:r>
      <w:r w:rsidR="008C20C6">
        <w:t xml:space="preserve">espressive </w:t>
      </w:r>
      <w:r w:rsidR="00DF35BD">
        <w:t xml:space="preserve">attraverso cui </w:t>
      </w:r>
      <w:r w:rsidR="008C20C6">
        <w:t xml:space="preserve">la </w:t>
      </w:r>
      <w:r w:rsidR="00DF35BD">
        <w:t>comunicazione consent</w:t>
      </w:r>
      <w:r w:rsidR="008C20C6">
        <w:t>e</w:t>
      </w:r>
      <w:r w:rsidR="00DF35BD">
        <w:t xml:space="preserve"> all’impresa </w:t>
      </w:r>
      <w:r w:rsidR="008C20C6">
        <w:t xml:space="preserve">e al consumatore </w:t>
      </w:r>
      <w:r w:rsidR="00DF35BD">
        <w:t xml:space="preserve">di generare valore per il mercato. Inoltre, al termine dell’insegnamento </w:t>
      </w:r>
      <w:r w:rsidR="008C20C6">
        <w:t xml:space="preserve">lo studente </w:t>
      </w:r>
      <w:r w:rsidR="00DF35BD">
        <w:t xml:space="preserve">avrà </w:t>
      </w:r>
      <w:r w:rsidR="008C20C6">
        <w:t>sviluppato</w:t>
      </w:r>
      <w:r w:rsidR="00DF35BD">
        <w:t xml:space="preserve"> una conoscenza critica </w:t>
      </w:r>
      <w:r w:rsidR="00C96F9E">
        <w:t xml:space="preserve">sia </w:t>
      </w:r>
      <w:r w:rsidR="00DF35BD">
        <w:t xml:space="preserve">nei confronti </w:t>
      </w:r>
      <w:r w:rsidR="00C96F9E">
        <w:t>dei trend di consumo in relazione al loro impatto sullo stile di vita delle persone e sulle dinamiche di comunicazione, sia in merito all</w:t>
      </w:r>
      <w:r w:rsidR="00DF35BD">
        <w:t xml:space="preserve">a marca e </w:t>
      </w:r>
      <w:r w:rsidR="00C96F9E">
        <w:t>a</w:t>
      </w:r>
      <w:r w:rsidR="00DF35BD">
        <w:t xml:space="preserve">ll’ecosistema </w:t>
      </w:r>
      <w:r w:rsidR="008C20C6">
        <w:t>di attori e interazioni in cui è inserita</w:t>
      </w:r>
      <w:r w:rsidR="00C96F9E">
        <w:t xml:space="preserve">. Queste conoscenze </w:t>
      </w:r>
      <w:r w:rsidR="00DF35BD">
        <w:t>consentir</w:t>
      </w:r>
      <w:r w:rsidR="00C96F9E">
        <w:t>anno allo studente</w:t>
      </w:r>
      <w:r w:rsidR="00DF35BD">
        <w:t xml:space="preserve"> di valutare </w:t>
      </w:r>
      <w:r w:rsidR="008C20C6">
        <w:t>l’efficacia delle strategie comunicative attuate dalle imprese, con particolare riguardo alle strategie volte a suscitare l’engagement del consumatore. Infine, grazie alla partecipazione ad un project work a gruppi volto ad affrontare le richieste di un brief aziendale reale, lo studente avrà maturato una capacità progettuale che gli consentirà di risolvere le problematiche emergenti di comunicazione e di consumer engagement che le marche sono chiamate ad affrontare nel contesto competitivo contemporaneo.</w:t>
      </w:r>
    </w:p>
    <w:p w14:paraId="557D11F2" w14:textId="77777777" w:rsidR="00E60CA0" w:rsidRDefault="00E60CA0" w:rsidP="00E60CA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A265B63" w14:textId="77777777" w:rsidR="00E60CA0" w:rsidRPr="00F82642" w:rsidRDefault="00E60CA0" w:rsidP="00C414E0">
      <w:pPr>
        <w:ind w:left="568" w:hanging="284"/>
        <w:rPr>
          <w:smallCaps/>
          <w:sz w:val="18"/>
          <w:szCs w:val="18"/>
        </w:rPr>
      </w:pPr>
      <w:r w:rsidRPr="00F82642">
        <w:rPr>
          <w:smallCaps/>
          <w:sz w:val="18"/>
          <w:szCs w:val="18"/>
        </w:rPr>
        <w:lastRenderedPageBreak/>
        <w:t>Parte istituzionale</w:t>
      </w:r>
    </w:p>
    <w:p w14:paraId="6C8CC313" w14:textId="645DC151" w:rsidR="00E60CA0" w:rsidRPr="00F82642" w:rsidRDefault="00E60CA0" w:rsidP="00E60CA0">
      <w:pPr>
        <w:ind w:left="284" w:hangingChars="142" w:hanging="284"/>
        <w:rPr>
          <w:i/>
        </w:rPr>
      </w:pPr>
      <w:r w:rsidRPr="00F82642">
        <w:rPr>
          <w:i/>
        </w:rPr>
        <w:t>L</w:t>
      </w:r>
      <w:r w:rsidR="00305DB8">
        <w:rPr>
          <w:i/>
        </w:rPr>
        <w:t>o scenario internazionale della comunicazione aziendale e della cultura di consumo</w:t>
      </w:r>
    </w:p>
    <w:p w14:paraId="6F248F22" w14:textId="0EAE642D" w:rsidR="00E60CA0" w:rsidRDefault="00E60CA0" w:rsidP="00E60CA0">
      <w:pPr>
        <w:ind w:left="284" w:hangingChars="142" w:hanging="284"/>
      </w:pPr>
      <w:r>
        <w:t>–</w:t>
      </w:r>
      <w:r>
        <w:tab/>
        <w:t>Il conc</w:t>
      </w:r>
      <w:r w:rsidR="0081383F">
        <w:t>etto di comunicazione d’azienda</w:t>
      </w:r>
      <w:r w:rsidR="0006111A">
        <w:t xml:space="preserve"> e come lo scenario della comunicazione è evoluto nel corso del tempo in relazione alle nuove tecnologie e alle nuove caratteristiche del consumatore</w:t>
      </w:r>
      <w:r w:rsidR="0081383F">
        <w:t>;</w:t>
      </w:r>
    </w:p>
    <w:p w14:paraId="5345BA49" w14:textId="38D88274" w:rsidR="00C4047B" w:rsidRDefault="00C4047B" w:rsidP="00C4047B">
      <w:pPr>
        <w:ind w:left="284" w:hangingChars="142" w:hanging="284"/>
      </w:pPr>
      <w:r>
        <w:t>–</w:t>
      </w:r>
      <w:r>
        <w:tab/>
      </w:r>
      <w:r w:rsidR="00305DB8">
        <w:t>Il concetto di trend di consumo: scoprire i nuovi trend di consumo e analizzare il loro impatto sulla cultura e sulla socialità del consumatore e sulle strategie di comunicazione delle marche</w:t>
      </w:r>
      <w:r>
        <w:t>.</w:t>
      </w:r>
    </w:p>
    <w:p w14:paraId="11C8A121" w14:textId="08842789" w:rsidR="00E60CA0" w:rsidRPr="00F82642" w:rsidRDefault="00E60CA0" w:rsidP="00E60CA0">
      <w:pPr>
        <w:spacing w:before="120"/>
        <w:ind w:left="284" w:hangingChars="142" w:hanging="284"/>
        <w:rPr>
          <w:i/>
        </w:rPr>
      </w:pPr>
      <w:r w:rsidRPr="00F82642">
        <w:rPr>
          <w:i/>
        </w:rPr>
        <w:t xml:space="preserve">La </w:t>
      </w:r>
      <w:r w:rsidR="00305DB8">
        <w:rPr>
          <w:i/>
        </w:rPr>
        <w:t>teoria della comunicazione aziendale: la Scuola anglosassone</w:t>
      </w:r>
    </w:p>
    <w:p w14:paraId="58DA34AC" w14:textId="77777777" w:rsidR="00E60CA0" w:rsidRDefault="00E60CA0" w:rsidP="00E60CA0">
      <w:pPr>
        <w:ind w:left="284" w:hangingChars="142" w:hanging="284"/>
      </w:pPr>
      <w:r>
        <w:t>–</w:t>
      </w:r>
      <w:r>
        <w:tab/>
        <w:t>L’</w:t>
      </w:r>
      <w:r w:rsidRPr="00F82642">
        <w:rPr>
          <w:i/>
        </w:rPr>
        <w:t>integrated marketing communications</w:t>
      </w:r>
      <w:r>
        <w:t xml:space="preserve"> (IMC): </w:t>
      </w:r>
      <w:r w:rsidR="0081383F">
        <w:t>concetto e caratteri distintivi;</w:t>
      </w:r>
    </w:p>
    <w:p w14:paraId="4623817A" w14:textId="77777777" w:rsidR="00E60CA0" w:rsidRDefault="00E60CA0" w:rsidP="00E60CA0">
      <w:pPr>
        <w:ind w:left="284" w:hangingChars="142" w:hanging="284"/>
      </w:pPr>
      <w:r>
        <w:t>–</w:t>
      </w:r>
      <w:r>
        <w:tab/>
        <w:t xml:space="preserve">La </w:t>
      </w:r>
      <w:r w:rsidRPr="00F82642">
        <w:rPr>
          <w:i/>
        </w:rPr>
        <w:t>corporate communication</w:t>
      </w:r>
      <w:r>
        <w:t xml:space="preserve">: </w:t>
      </w:r>
      <w:r w:rsidR="0081383F">
        <w:t>concetto e caratteri distintivi;</w:t>
      </w:r>
    </w:p>
    <w:p w14:paraId="5B2AFABD" w14:textId="2A2B869D" w:rsidR="00E60CA0" w:rsidRDefault="007717D7" w:rsidP="00A52DD6">
      <w:pPr>
        <w:ind w:left="284" w:hanging="284"/>
      </w:pPr>
      <w:r>
        <w:t>–</w:t>
      </w:r>
      <w:r>
        <w:tab/>
      </w:r>
      <w:r w:rsidR="00E60CA0">
        <w:t xml:space="preserve">Il significato, i legami fra </w:t>
      </w:r>
      <w:r w:rsidR="00E60CA0" w:rsidRPr="006A0433">
        <w:t>corporate identity, corporate image e corporate reputation</w:t>
      </w:r>
      <w:r w:rsidR="00E60CA0">
        <w:t xml:space="preserve"> e il ruolo della comunicazione </w:t>
      </w:r>
      <w:r w:rsidR="0081383F">
        <w:t>nella loro gestione;</w:t>
      </w:r>
    </w:p>
    <w:p w14:paraId="1AE20133" w14:textId="120AE3BA" w:rsidR="006A0433" w:rsidRPr="00653D38" w:rsidRDefault="007717D7" w:rsidP="0081383F">
      <w:pPr>
        <w:ind w:left="284" w:hanging="284"/>
        <w:rPr>
          <w:lang w:val="en-US"/>
        </w:rPr>
      </w:pPr>
      <w:r w:rsidRPr="007717D7">
        <w:rPr>
          <w:lang w:val="en-US"/>
        </w:rPr>
        <w:t>–</w:t>
      </w:r>
      <w:r w:rsidRPr="007717D7">
        <w:rPr>
          <w:lang w:val="en-US"/>
        </w:rPr>
        <w:tab/>
      </w:r>
      <w:r w:rsidR="00653D38" w:rsidRPr="00653D38">
        <w:rPr>
          <w:lang w:val="en-US"/>
        </w:rPr>
        <w:t>C</w:t>
      </w:r>
      <w:r w:rsidR="00E60CA0" w:rsidRPr="00653D38">
        <w:rPr>
          <w:lang w:val="en-US"/>
        </w:rPr>
        <w:t>orporate branding</w:t>
      </w:r>
      <w:r w:rsidR="00653D38" w:rsidRPr="00653D38">
        <w:rPr>
          <w:lang w:val="en-US"/>
        </w:rPr>
        <w:t xml:space="preserve">, </w:t>
      </w:r>
      <w:r w:rsidR="00E60CA0" w:rsidRPr="00653D38">
        <w:rPr>
          <w:lang w:val="en-US"/>
        </w:rPr>
        <w:t>corporate citizenship</w:t>
      </w:r>
      <w:r w:rsidR="00653D38" w:rsidRPr="00653D38">
        <w:rPr>
          <w:lang w:val="en-US"/>
        </w:rPr>
        <w:t xml:space="preserve"> e</w:t>
      </w:r>
      <w:r w:rsidR="00653D38">
        <w:rPr>
          <w:lang w:val="en-US"/>
        </w:rPr>
        <w:t xml:space="preserve"> consumer clicktivism.</w:t>
      </w:r>
    </w:p>
    <w:p w14:paraId="4F226407" w14:textId="77777777" w:rsidR="00E60CA0" w:rsidRDefault="00E60CA0" w:rsidP="00E60CA0">
      <w:pPr>
        <w:spacing w:before="120"/>
      </w:pPr>
      <w:r>
        <w:t xml:space="preserve">Gli studenti, nell’ambito della parte istituzionale del corso, saranno inoltre coinvolti un </w:t>
      </w:r>
      <w:r w:rsidRPr="0088273F">
        <w:rPr>
          <w:i/>
        </w:rPr>
        <w:t>ciclo seminariale di lezioni</w:t>
      </w:r>
      <w:r>
        <w:t xml:space="preserve"> sul tema “</w:t>
      </w:r>
      <w:r>
        <w:rPr>
          <w:i/>
        </w:rPr>
        <w:t>Corporate public relations</w:t>
      </w:r>
      <w:r w:rsidR="0081383F">
        <w:t>” svolto dal</w:t>
      </w:r>
      <w:r>
        <w:t xml:space="preserve"> Prof. Dalia Andreotti.</w:t>
      </w:r>
    </w:p>
    <w:p w14:paraId="75643895" w14:textId="77777777" w:rsidR="00E60CA0" w:rsidRPr="00F82642" w:rsidRDefault="00E60CA0" w:rsidP="00C414E0">
      <w:pPr>
        <w:spacing w:before="120"/>
        <w:ind w:left="568" w:hanging="284"/>
        <w:rPr>
          <w:smallCaps/>
          <w:sz w:val="18"/>
          <w:szCs w:val="18"/>
        </w:rPr>
      </w:pPr>
      <w:r w:rsidRPr="00F82642">
        <w:rPr>
          <w:smallCaps/>
          <w:sz w:val="18"/>
          <w:szCs w:val="18"/>
        </w:rPr>
        <w:t>Parte monografica</w:t>
      </w:r>
    </w:p>
    <w:p w14:paraId="20DB9661" w14:textId="77777777" w:rsidR="00E60CA0" w:rsidRPr="00F82642" w:rsidRDefault="00E60CA0" w:rsidP="00E60CA0">
      <w:pPr>
        <w:rPr>
          <w:i/>
        </w:rPr>
      </w:pPr>
      <w:r w:rsidRPr="00F82642">
        <w:rPr>
          <w:i/>
        </w:rPr>
        <w:t>La marca. Multidimensionalità, identità, posizionamento e sperimentazione comunicativa</w:t>
      </w:r>
    </w:p>
    <w:p w14:paraId="2324D098" w14:textId="77777777" w:rsidR="00E60CA0" w:rsidRDefault="00E60CA0" w:rsidP="00E60CA0">
      <w:pPr>
        <w:ind w:left="284" w:hangingChars="142" w:hanging="284"/>
      </w:pPr>
      <w:r>
        <w:t>–</w:t>
      </w:r>
      <w:r>
        <w:tab/>
        <w:t>Il con</w:t>
      </w:r>
      <w:r w:rsidR="0081383F">
        <w:t>cetto e le funzioni della marca;</w:t>
      </w:r>
    </w:p>
    <w:p w14:paraId="56632A63" w14:textId="3F7EACC9" w:rsidR="00E60CA0" w:rsidRDefault="00E60CA0" w:rsidP="00E60CA0">
      <w:pPr>
        <w:ind w:left="284" w:hangingChars="142" w:hanging="284"/>
      </w:pPr>
      <w:r>
        <w:t>–</w:t>
      </w:r>
      <w:r>
        <w:tab/>
        <w:t>Le dimensioni della brand identity e il processo di brand pos</w:t>
      </w:r>
      <w:r w:rsidR="0081383F">
        <w:t>itioning;</w:t>
      </w:r>
    </w:p>
    <w:p w14:paraId="79B7759B" w14:textId="0E29B894" w:rsidR="006C277B" w:rsidRDefault="006C277B" w:rsidP="00E60CA0">
      <w:pPr>
        <w:ind w:left="284" w:hangingChars="142" w:hanging="284"/>
      </w:pPr>
      <w:r>
        <w:t>–</w:t>
      </w:r>
      <w:r>
        <w:tab/>
        <w:t>La comunicazione pubblicitaria: logiche, processi, strategie e figure professionali dell’agenzia pubblicitaria;</w:t>
      </w:r>
    </w:p>
    <w:p w14:paraId="355E09A2" w14:textId="1EAF7EAA" w:rsidR="004A0E95" w:rsidRDefault="004A0E95" w:rsidP="00E60CA0">
      <w:pPr>
        <w:ind w:left="284" w:hangingChars="142" w:hanging="284"/>
      </w:pPr>
      <w:r>
        <w:t>–</w:t>
      </w:r>
      <w:r>
        <w:tab/>
      </w:r>
      <w:r w:rsidR="0006111A">
        <w:t>Il consumer-brand engagement</w:t>
      </w:r>
      <w:r w:rsidR="0081383F">
        <w:t>;</w:t>
      </w:r>
    </w:p>
    <w:p w14:paraId="4D9B0A16" w14:textId="4E808C92" w:rsidR="000B62D3" w:rsidRDefault="000B62D3" w:rsidP="000B62D3">
      <w:pPr>
        <w:ind w:left="284" w:hangingChars="142" w:hanging="284"/>
      </w:pPr>
      <w:r>
        <w:t>–</w:t>
      </w:r>
      <w:r>
        <w:tab/>
        <w:t>Technoculture, società liquida e nuove forme di aggregazione dei consumatori e di relazione con le marche in ambiente tecnomediato;</w:t>
      </w:r>
    </w:p>
    <w:p w14:paraId="73A45461" w14:textId="0067FDBE" w:rsidR="004A0E95" w:rsidRDefault="004A0E95" w:rsidP="004A0E95">
      <w:pPr>
        <w:ind w:left="284" w:hangingChars="142" w:hanging="284"/>
      </w:pPr>
      <w:r>
        <w:t>–</w:t>
      </w:r>
      <w:r>
        <w:tab/>
        <w:t xml:space="preserve">La sperimentazione nelle strategie di </w:t>
      </w:r>
      <w:r w:rsidR="000B62D3">
        <w:t xml:space="preserve">comunicazione di </w:t>
      </w:r>
      <w:r>
        <w:t xml:space="preserve">marca: </w:t>
      </w:r>
      <w:r w:rsidRPr="004A0E95">
        <w:t xml:space="preserve">ambient e guerrilla marketing, retail experience, </w:t>
      </w:r>
      <w:r w:rsidR="00687DC7">
        <w:t xml:space="preserve">real time marketing, </w:t>
      </w:r>
      <w:r w:rsidR="000B62D3" w:rsidRPr="004A0E95">
        <w:t xml:space="preserve">social media </w:t>
      </w:r>
      <w:r w:rsidR="000B62D3">
        <w:t xml:space="preserve">branded content and </w:t>
      </w:r>
      <w:r w:rsidR="00653D38">
        <w:t>storytelling</w:t>
      </w:r>
      <w:r w:rsidR="000B62D3" w:rsidRPr="004A0E95">
        <w:t>,</w:t>
      </w:r>
      <w:r w:rsidR="000B62D3">
        <w:t xml:space="preserve"> </w:t>
      </w:r>
      <w:r w:rsidR="00687DC7">
        <w:t xml:space="preserve">influencer </w:t>
      </w:r>
      <w:r w:rsidR="00653D38">
        <w:t>marketing</w:t>
      </w:r>
      <w:r w:rsidR="0081383F">
        <w:t>;</w:t>
      </w:r>
    </w:p>
    <w:p w14:paraId="5381852D" w14:textId="363216C8" w:rsidR="006A0433" w:rsidRPr="006C277B" w:rsidRDefault="00E60CA0" w:rsidP="00687DC7">
      <w:pPr>
        <w:ind w:left="284" w:hangingChars="142" w:hanging="284"/>
        <w:rPr>
          <w:lang w:val="en-US"/>
        </w:rPr>
      </w:pPr>
      <w:r w:rsidRPr="006C277B">
        <w:rPr>
          <w:lang w:val="en-US"/>
        </w:rPr>
        <w:t>–</w:t>
      </w:r>
      <w:r w:rsidRPr="006C277B">
        <w:rPr>
          <w:lang w:val="en-US"/>
        </w:rPr>
        <w:tab/>
      </w:r>
      <w:r w:rsidR="00687DC7" w:rsidRPr="006C277B">
        <w:rPr>
          <w:lang w:val="en-US"/>
        </w:rPr>
        <w:t>Cultural</w:t>
      </w:r>
      <w:r w:rsidR="004A0E95" w:rsidRPr="006C277B">
        <w:rPr>
          <w:lang w:val="en-US"/>
        </w:rPr>
        <w:t xml:space="preserve"> brandin</w:t>
      </w:r>
      <w:r w:rsidR="00653D38" w:rsidRPr="006C277B">
        <w:rPr>
          <w:lang w:val="en-US"/>
        </w:rPr>
        <w:t>g, community e fan activism</w:t>
      </w:r>
      <w:r w:rsidR="000B62D3" w:rsidRPr="006C277B">
        <w:rPr>
          <w:lang w:val="en-US"/>
        </w:rPr>
        <w:t>.</w:t>
      </w:r>
    </w:p>
    <w:p w14:paraId="2ADF0118" w14:textId="77777777" w:rsidR="00E60CA0" w:rsidRPr="00F82642" w:rsidRDefault="00E60CA0" w:rsidP="00C414E0">
      <w:pPr>
        <w:spacing w:before="120"/>
        <w:ind w:left="568" w:hanging="284"/>
        <w:rPr>
          <w:smallCaps/>
          <w:sz w:val="18"/>
          <w:szCs w:val="18"/>
        </w:rPr>
      </w:pPr>
      <w:r w:rsidRPr="00F82642">
        <w:rPr>
          <w:smallCaps/>
          <w:sz w:val="18"/>
          <w:szCs w:val="18"/>
        </w:rPr>
        <w:t>Parte applicativa</w:t>
      </w:r>
    </w:p>
    <w:p w14:paraId="6637DC6D" w14:textId="46CF1AD4" w:rsidR="00E60FED" w:rsidRDefault="00E60FED" w:rsidP="00E60CA0">
      <w:r>
        <w:t xml:space="preserve">Gli studenti saranno coinvolti in un </w:t>
      </w:r>
      <w:r w:rsidRPr="00E60FED">
        <w:rPr>
          <w:i/>
          <w:iCs/>
        </w:rPr>
        <w:t>assignment a gruppi</w:t>
      </w:r>
      <w:r>
        <w:t xml:space="preserve"> che li vedrà cimentarsi nella scoperta e nell’analisi di un trend internazionale di consumo e delle sue ricadute sul piano della comunicazione tra i consumatori e con le marche.</w:t>
      </w:r>
    </w:p>
    <w:p w14:paraId="4839B5DB" w14:textId="57089C23" w:rsidR="00E60CA0" w:rsidRDefault="00E60CA0" w:rsidP="00E60CA0">
      <w:r>
        <w:lastRenderedPageBreak/>
        <w:t xml:space="preserve">Gli studenti saranno </w:t>
      </w:r>
      <w:r w:rsidR="00E60FED">
        <w:t xml:space="preserve">inoltre </w:t>
      </w:r>
      <w:r>
        <w:t xml:space="preserve">coinvolti in un </w:t>
      </w:r>
      <w:r w:rsidRPr="00F82642">
        <w:rPr>
          <w:i/>
        </w:rPr>
        <w:t>project work</w:t>
      </w:r>
      <w:r>
        <w:t xml:space="preserve"> a </w:t>
      </w:r>
      <w:r w:rsidRPr="00F82642">
        <w:rPr>
          <w:i/>
        </w:rPr>
        <w:t>gruppi</w:t>
      </w:r>
      <w:r>
        <w:t xml:space="preserve"> su un caso aziendale reale di comunicazione di marca commissionato e valutato dall’</w:t>
      </w:r>
      <w:r w:rsidR="004A0E95">
        <w:t>azienda</w:t>
      </w:r>
      <w:r>
        <w:t xml:space="preserve"> partner del progetto.</w:t>
      </w:r>
    </w:p>
    <w:p w14:paraId="69027EFA" w14:textId="03E4EA68" w:rsidR="00E60CA0" w:rsidRPr="004C6A9C" w:rsidRDefault="00642B8F" w:rsidP="004C6A9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824EB">
        <w:rPr>
          <w:rStyle w:val="Rimandonotaapidipagina"/>
          <w:b/>
          <w:i/>
          <w:sz w:val="18"/>
        </w:rPr>
        <w:footnoteReference w:id="1"/>
      </w:r>
    </w:p>
    <w:p w14:paraId="1FCE36A8" w14:textId="77777777" w:rsidR="00642B8F" w:rsidRDefault="00642B8F" w:rsidP="004C6A9C">
      <w:pPr>
        <w:pStyle w:val="Testo1"/>
      </w:pPr>
      <w:r>
        <w:t xml:space="preserve">Per studenti </w:t>
      </w:r>
      <w:r w:rsidRPr="00B30D30">
        <w:rPr>
          <w:i/>
        </w:rPr>
        <w:t>frequentanti</w:t>
      </w:r>
    </w:p>
    <w:p w14:paraId="107C7B7C" w14:textId="7EFFFDF2" w:rsidR="00642B8F" w:rsidRDefault="00642B8F" w:rsidP="00642B8F">
      <w:pPr>
        <w:pStyle w:val="Testo1"/>
      </w:pPr>
      <w:r>
        <w:t>Material</w:t>
      </w:r>
      <w:r w:rsidR="000901A9">
        <w:t>i</w:t>
      </w:r>
      <w:r>
        <w:t xml:space="preserve"> pubblicat</w:t>
      </w:r>
      <w:r w:rsidR="000901A9">
        <w:t>i</w:t>
      </w:r>
      <w:r>
        <w:t xml:space="preserve"> online </w:t>
      </w:r>
      <w:r w:rsidR="000B1F38">
        <w:t>in Blackboard</w:t>
      </w:r>
      <w:r>
        <w:t>.</w:t>
      </w:r>
    </w:p>
    <w:p w14:paraId="129A083C" w14:textId="77777777" w:rsidR="00642B8F" w:rsidRPr="00B30D30" w:rsidRDefault="00642B8F" w:rsidP="004C6A9C">
      <w:pPr>
        <w:pStyle w:val="Testo1"/>
        <w:spacing w:before="120"/>
        <w:rPr>
          <w:i/>
        </w:rPr>
      </w:pPr>
      <w:r>
        <w:t xml:space="preserve">Per studenti </w:t>
      </w:r>
      <w:r w:rsidRPr="00B30D30">
        <w:rPr>
          <w:i/>
        </w:rPr>
        <w:t>non frequentanti</w:t>
      </w:r>
    </w:p>
    <w:p w14:paraId="3A3AA483" w14:textId="70C84816" w:rsidR="00642B8F" w:rsidRPr="003824EB" w:rsidRDefault="00642B8F" w:rsidP="003824EB">
      <w:pPr>
        <w:spacing w:line="240" w:lineRule="auto"/>
        <w:rPr>
          <w:i/>
          <w:color w:val="0070C0"/>
          <w:sz w:val="16"/>
          <w:szCs w:val="16"/>
        </w:rPr>
      </w:pPr>
      <w:r w:rsidRPr="00F82642">
        <w:rPr>
          <w:smallCaps/>
          <w:spacing w:val="-5"/>
          <w:sz w:val="16"/>
        </w:rPr>
        <w:t>R. Fiocca-R.C. Gambetti-C. Solerio,</w:t>
      </w:r>
      <w:r w:rsidRPr="00F82642">
        <w:rPr>
          <w:i/>
          <w:spacing w:val="-5"/>
        </w:rPr>
        <w:t xml:space="preserve"> Brand experience. Relazioni impresa-cliente e valore di marca,</w:t>
      </w:r>
      <w:r w:rsidRPr="00F82642">
        <w:rPr>
          <w:spacing w:val="-5"/>
        </w:rPr>
        <w:t xml:space="preserve"> Franco Angeli, Milano, </w:t>
      </w:r>
      <w:r>
        <w:rPr>
          <w:spacing w:val="-5"/>
        </w:rPr>
        <w:t>2016</w:t>
      </w:r>
      <w:r w:rsidRPr="00F82642">
        <w:rPr>
          <w:spacing w:val="-5"/>
        </w:rPr>
        <w:t>.</w:t>
      </w:r>
      <w:r w:rsidR="003824EB">
        <w:rPr>
          <w:spacing w:val="-5"/>
        </w:rPr>
        <w:t xml:space="preserve"> </w:t>
      </w:r>
      <w:hyperlink r:id="rId9" w:history="1">
        <w:r w:rsidR="003824EB" w:rsidRPr="00E526F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6C610B3" w14:textId="08913BF3" w:rsidR="00642B8F" w:rsidRPr="003824EB" w:rsidRDefault="00642B8F" w:rsidP="003824EB">
      <w:pPr>
        <w:spacing w:line="240" w:lineRule="auto"/>
        <w:rPr>
          <w:i/>
          <w:color w:val="0070C0"/>
          <w:sz w:val="16"/>
          <w:szCs w:val="16"/>
        </w:rPr>
      </w:pPr>
      <w:r w:rsidRPr="00F82642">
        <w:rPr>
          <w:smallCaps/>
          <w:spacing w:val="-5"/>
          <w:sz w:val="16"/>
        </w:rPr>
        <w:t>R.C. Gambetti</w:t>
      </w:r>
      <w:r w:rsidR="00CD46B7">
        <w:rPr>
          <w:smallCaps/>
          <w:spacing w:val="-5"/>
          <w:sz w:val="16"/>
        </w:rPr>
        <w:t>-</w:t>
      </w:r>
      <w:r w:rsidRPr="00F82642">
        <w:rPr>
          <w:smallCaps/>
          <w:spacing w:val="-5"/>
          <w:sz w:val="16"/>
        </w:rPr>
        <w:t xml:space="preserve">S. </w:t>
      </w:r>
      <w:r w:rsidRPr="00642B8F">
        <w:rPr>
          <w:smallCaps/>
          <w:spacing w:val="-5"/>
          <w:sz w:val="16"/>
        </w:rPr>
        <w:t xml:space="preserve">Quigley </w:t>
      </w:r>
      <w:r w:rsidRPr="00642B8F">
        <w:rPr>
          <w:spacing w:val="-5"/>
        </w:rPr>
        <w:t>(eds.),</w:t>
      </w:r>
      <w:r w:rsidRPr="00642B8F">
        <w:rPr>
          <w:i/>
          <w:spacing w:val="-5"/>
        </w:rPr>
        <w:t xml:space="preserve"> Managing corporate communication: a cross-cultural approach,</w:t>
      </w:r>
      <w:r w:rsidRPr="00642B8F">
        <w:rPr>
          <w:spacing w:val="-5"/>
        </w:rPr>
        <w:t xml:space="preserve"> Palgrave MacMillan, London, 2012 (Capitoli 1, 2, 6, 9).</w:t>
      </w:r>
      <w:r w:rsidR="003824EB" w:rsidRPr="003824EB">
        <w:rPr>
          <w:i/>
          <w:color w:val="0070C0"/>
          <w:sz w:val="16"/>
          <w:szCs w:val="16"/>
        </w:rPr>
        <w:t xml:space="preserve"> </w:t>
      </w:r>
      <w:hyperlink r:id="rId10" w:history="1">
        <w:r w:rsidR="003824EB" w:rsidRPr="00E526F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77B9E70" w14:textId="77D26331" w:rsidR="00642B8F" w:rsidRPr="003824EB" w:rsidRDefault="00642B8F" w:rsidP="003824EB">
      <w:pPr>
        <w:spacing w:line="240" w:lineRule="auto"/>
        <w:rPr>
          <w:i/>
          <w:color w:val="0070C0"/>
          <w:sz w:val="16"/>
          <w:szCs w:val="16"/>
        </w:rPr>
      </w:pPr>
      <w:r w:rsidRPr="00F82642">
        <w:rPr>
          <w:smallCaps/>
          <w:spacing w:val="-5"/>
          <w:sz w:val="16"/>
        </w:rPr>
        <w:t>S. Biraghi,</w:t>
      </w:r>
      <w:r w:rsidRPr="00F82642">
        <w:rPr>
          <w:i/>
          <w:spacing w:val="-5"/>
        </w:rPr>
        <w:t xml:space="preserve"> </w:t>
      </w:r>
      <w:r w:rsidR="004A0E95">
        <w:rPr>
          <w:i/>
          <w:spacing w:val="-5"/>
        </w:rPr>
        <w:t>Agenzie di comunicazione e clienti. Come cambiano le relazioni nel tempo della discontinuità</w:t>
      </w:r>
      <w:r w:rsidRPr="00F82642">
        <w:rPr>
          <w:i/>
          <w:spacing w:val="-5"/>
        </w:rPr>
        <w:t>,</w:t>
      </w:r>
      <w:r w:rsidRPr="00F82642">
        <w:rPr>
          <w:spacing w:val="-5"/>
        </w:rPr>
        <w:t xml:space="preserve"> </w:t>
      </w:r>
      <w:r w:rsidR="006A0433">
        <w:rPr>
          <w:spacing w:val="-5"/>
        </w:rPr>
        <w:t>Franco Angeli, Milano, 2017</w:t>
      </w:r>
      <w:r w:rsidRPr="00F82642">
        <w:rPr>
          <w:spacing w:val="-5"/>
        </w:rPr>
        <w:t>.</w:t>
      </w:r>
      <w:r w:rsidR="003824EB" w:rsidRPr="003824EB">
        <w:rPr>
          <w:i/>
          <w:color w:val="0070C0"/>
          <w:sz w:val="16"/>
          <w:szCs w:val="16"/>
        </w:rPr>
        <w:t xml:space="preserve"> </w:t>
      </w:r>
      <w:hyperlink r:id="rId11" w:history="1">
        <w:r w:rsidR="003824EB" w:rsidRPr="00E526F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C79E875" w14:textId="77777777" w:rsidR="00642B8F" w:rsidRDefault="00642B8F" w:rsidP="004C6A9C">
      <w:pPr>
        <w:pStyle w:val="Testo1"/>
        <w:spacing w:before="120"/>
      </w:pPr>
      <w:r>
        <w:t>Letture di approfondimento facoltative consigliate:</w:t>
      </w:r>
    </w:p>
    <w:p w14:paraId="200275A6" w14:textId="4EA3252C" w:rsidR="00717F90" w:rsidRPr="003824EB" w:rsidRDefault="00717F90" w:rsidP="003824EB">
      <w:pPr>
        <w:spacing w:line="240" w:lineRule="auto"/>
        <w:rPr>
          <w:i/>
          <w:color w:val="0070C0"/>
          <w:sz w:val="16"/>
          <w:szCs w:val="16"/>
        </w:rPr>
      </w:pPr>
      <w:r w:rsidRPr="00777D12">
        <w:rPr>
          <w:smallCaps/>
          <w:spacing w:val="-5"/>
          <w:sz w:val="16"/>
          <w:lang w:val="en-US"/>
        </w:rPr>
        <w:t>T. Heding, C.F. Knudtzen and M. Bjerre,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 w:rsidRPr="00717F90">
        <w:rPr>
          <w:i/>
          <w:iCs/>
          <w:color w:val="222222"/>
          <w:szCs w:val="18"/>
          <w:shd w:val="clear" w:color="auto" w:fill="FFFFFF"/>
          <w:lang w:val="en-US"/>
        </w:rPr>
        <w:t>Brand Management: Mastering Research, Theory and Practice</w:t>
      </w:r>
      <w:r w:rsidRPr="00717F90">
        <w:rPr>
          <w:color w:val="222222"/>
          <w:szCs w:val="18"/>
          <w:shd w:val="clear" w:color="auto" w:fill="FFFFFF"/>
          <w:lang w:val="en-US"/>
        </w:rPr>
        <w:t xml:space="preserve">, </w:t>
      </w:r>
      <w:proofErr w:type="spellStart"/>
      <w:r w:rsidRPr="00717F90">
        <w:rPr>
          <w:color w:val="222222"/>
          <w:szCs w:val="18"/>
          <w:shd w:val="clear" w:color="auto" w:fill="FFFFFF"/>
          <w:lang w:val="en-US"/>
        </w:rPr>
        <w:t>Routledge</w:t>
      </w:r>
      <w:proofErr w:type="spellEnd"/>
      <w:r w:rsidRPr="00717F90">
        <w:rPr>
          <w:color w:val="222222"/>
          <w:szCs w:val="18"/>
          <w:shd w:val="clear" w:color="auto" w:fill="FFFFFF"/>
          <w:lang w:val="en-US"/>
        </w:rPr>
        <w:t>, London, 2020.</w:t>
      </w:r>
      <w:r w:rsidR="003824EB" w:rsidRPr="003824EB">
        <w:rPr>
          <w:i/>
          <w:color w:val="0070C0"/>
          <w:sz w:val="16"/>
          <w:szCs w:val="16"/>
          <w:lang w:val="en-US"/>
        </w:rPr>
        <w:t xml:space="preserve"> </w:t>
      </w:r>
      <w:bookmarkStart w:id="0" w:name="_GoBack"/>
      <w:bookmarkEnd w:id="0"/>
    </w:p>
    <w:p w14:paraId="1F22B1EC" w14:textId="47742B04" w:rsidR="0066086B" w:rsidRPr="003824EB" w:rsidRDefault="00C94693" w:rsidP="003824EB">
      <w:pPr>
        <w:spacing w:line="240" w:lineRule="auto"/>
        <w:rPr>
          <w:i/>
          <w:color w:val="0070C0"/>
          <w:sz w:val="16"/>
          <w:szCs w:val="16"/>
        </w:rPr>
      </w:pPr>
      <w:r>
        <w:rPr>
          <w:smallCaps/>
          <w:spacing w:val="-5"/>
          <w:sz w:val="16"/>
          <w:lang w:val="en-US"/>
        </w:rPr>
        <w:t>R.V. Kozinets</w:t>
      </w:r>
      <w:r w:rsidR="0066086B" w:rsidRPr="00F82642">
        <w:rPr>
          <w:smallCaps/>
          <w:spacing w:val="-5"/>
          <w:sz w:val="16"/>
          <w:lang w:val="en-US"/>
        </w:rPr>
        <w:t>,</w:t>
      </w:r>
      <w:r w:rsidR="0066086B">
        <w:rPr>
          <w:smallCaps/>
          <w:spacing w:val="-5"/>
          <w:sz w:val="16"/>
          <w:lang w:val="en-US"/>
        </w:rPr>
        <w:t xml:space="preserve"> </w:t>
      </w:r>
      <w:r w:rsidR="0066086B">
        <w:rPr>
          <w:i/>
          <w:spacing w:val="-5"/>
          <w:lang w:val="en-US"/>
        </w:rPr>
        <w:t>Netnography 3E. The essential guide to qualitative social media research</w:t>
      </w:r>
      <w:r>
        <w:rPr>
          <w:i/>
          <w:spacing w:val="-5"/>
          <w:lang w:val="en-US"/>
        </w:rPr>
        <w:t xml:space="preserve">, </w:t>
      </w:r>
      <w:r w:rsidRPr="00C94693">
        <w:rPr>
          <w:iCs/>
          <w:spacing w:val="-5"/>
          <w:lang w:val="en-US"/>
        </w:rPr>
        <w:t>Sage, Thousand Oaks (CA), 2020.</w:t>
      </w:r>
      <w:r w:rsidR="003824EB" w:rsidRPr="003824EB">
        <w:rPr>
          <w:i/>
          <w:color w:val="0070C0"/>
          <w:sz w:val="16"/>
          <w:szCs w:val="16"/>
          <w:lang w:val="en-US"/>
        </w:rPr>
        <w:t xml:space="preserve"> </w:t>
      </w:r>
      <w:hyperlink r:id="rId12" w:history="1">
        <w:r w:rsidR="003824EB" w:rsidRPr="00E526F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BF0E0AB" w14:textId="77777777" w:rsidR="00642B8F" w:rsidRPr="00642B8F" w:rsidRDefault="00642B8F" w:rsidP="00642B8F">
      <w:pPr>
        <w:spacing w:before="240" w:after="120" w:line="220" w:lineRule="exact"/>
        <w:rPr>
          <w:b/>
          <w:i/>
          <w:sz w:val="18"/>
        </w:rPr>
      </w:pPr>
      <w:r w:rsidRPr="00642B8F">
        <w:rPr>
          <w:b/>
          <w:i/>
          <w:sz w:val="18"/>
        </w:rPr>
        <w:t>DIDATTICA DEL CORSO</w:t>
      </w:r>
    </w:p>
    <w:p w14:paraId="02E7C788" w14:textId="2520927F" w:rsidR="00642B8F" w:rsidRDefault="00642B8F" w:rsidP="00642B8F">
      <w:pPr>
        <w:pStyle w:val="Testo2"/>
      </w:pPr>
      <w:r w:rsidRPr="00F82642">
        <w:t xml:space="preserve">Lezioni interattive, seminari </w:t>
      </w:r>
      <w:r w:rsidR="000B1F38">
        <w:t xml:space="preserve">e guest lecture </w:t>
      </w:r>
      <w:r w:rsidRPr="00F82642">
        <w:t>tenuti da esperti aziendali, lavori di gruppo</w:t>
      </w:r>
      <w:r w:rsidR="000B1F38">
        <w:t xml:space="preserve"> e project work aziendali</w:t>
      </w:r>
      <w:r w:rsidRPr="00F82642">
        <w:t>.</w:t>
      </w:r>
    </w:p>
    <w:p w14:paraId="10DE63DB" w14:textId="04A089E8" w:rsidR="00642B8F" w:rsidRDefault="00642B8F" w:rsidP="00642B8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687DC7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72F47097" w14:textId="053254FC" w:rsidR="007717D7" w:rsidRDefault="00642B8F" w:rsidP="00642B8F">
      <w:pPr>
        <w:pStyle w:val="Testo2"/>
      </w:pPr>
      <w:r>
        <w:t xml:space="preserve">Il corso prevede per gli </w:t>
      </w:r>
      <w:r w:rsidRPr="00F82642">
        <w:rPr>
          <w:i/>
        </w:rPr>
        <w:t>studenti frequentanti</w:t>
      </w:r>
      <w:r>
        <w:t xml:space="preserve"> un esame scritto finale individuale</w:t>
      </w:r>
      <w:r w:rsidR="007717D7">
        <w:t>, un assignment a gruppi con valutazione individuale</w:t>
      </w:r>
      <w:r>
        <w:t xml:space="preserve"> e un project work </w:t>
      </w:r>
      <w:r w:rsidR="007717D7">
        <w:t xml:space="preserve">aziendale </w:t>
      </w:r>
      <w:r>
        <w:t xml:space="preserve">a gruppi. </w:t>
      </w:r>
    </w:p>
    <w:p w14:paraId="2B340118" w14:textId="09CF5B76" w:rsidR="00DD501A" w:rsidRDefault="00642B8F" w:rsidP="00642B8F">
      <w:pPr>
        <w:pStyle w:val="Testo2"/>
      </w:pPr>
      <w:r>
        <w:t>L’</w:t>
      </w:r>
      <w:r w:rsidRPr="00606BF8">
        <w:rPr>
          <w:i/>
          <w:iCs/>
        </w:rPr>
        <w:t xml:space="preserve">esame scritto </w:t>
      </w:r>
      <w:r>
        <w:t xml:space="preserve">consiste in due domande aperte di carattere teorico-applicativo inerenti le spiegazioni fornite in aula, il materiale reso disponibile sulla pagina web docente e il materiale bibliografico indicato per lo studio. L’esame scritto pesa il </w:t>
      </w:r>
      <w:r w:rsidR="00606BF8">
        <w:t>4</w:t>
      </w:r>
      <w:r>
        <w:t xml:space="preserve">0% del voto finale. </w:t>
      </w:r>
      <w:r w:rsidR="00DD501A">
        <w:t xml:space="preserve">Ai fini della valutazione dell’esame scritto concorreranno la pertinenza delle risposte, l’uso appropriato della terminologia specifica, la strutturazione argomentata e coerente del discorso, la capacità di individuare nessi concettuali tra i contenuti e la dimostrazione della capacità di applicare i concetti appresi ai molteplici esempi trattati in aula. Entrambe le domande aperte verranno valutate con un punteggio in trentesimi e faranno media al 50% rispetto al voto finale dello scritto. </w:t>
      </w:r>
    </w:p>
    <w:p w14:paraId="72054D6F" w14:textId="44F6B538" w:rsidR="00B33C21" w:rsidRDefault="00B33C21" w:rsidP="00674D56">
      <w:pPr>
        <w:pStyle w:val="Testo2"/>
      </w:pPr>
      <w:r>
        <w:lastRenderedPageBreak/>
        <w:t>L’</w:t>
      </w:r>
      <w:r w:rsidRPr="00606BF8">
        <w:rPr>
          <w:i/>
          <w:iCs/>
        </w:rPr>
        <w:t xml:space="preserve">assignment a gruppi </w:t>
      </w:r>
      <w:r>
        <w:t xml:space="preserve">prevede la </w:t>
      </w:r>
      <w:r w:rsidR="00DC6315">
        <w:t xml:space="preserve">scoperta e l’analisi di trend di consumo </w:t>
      </w:r>
      <w:r w:rsidR="00606BF8">
        <w:t>innovativi che aggreghino consumatori, che rispondano a nuovi bisogni e desideri di consumo e che influenzino il loro stile di vita e le loro modalità di comunicazione e di relazione con le marche.  L’assignment a gruppi pesa il 20% del voto finale e sarà presentato in aula dagli studenti</w:t>
      </w:r>
      <w:r w:rsidR="007717D7">
        <w:t xml:space="preserve"> durante il corso</w:t>
      </w:r>
      <w:r w:rsidR="00606BF8">
        <w:t xml:space="preserve">. L’assignment, pur essendo condotto a gruppi, sarà </w:t>
      </w:r>
      <w:r w:rsidR="00674D56">
        <w:t>oggetto di valutazione individuale</w:t>
      </w:r>
      <w:r w:rsidR="00606BF8">
        <w:t xml:space="preserve"> sulla base del contributo apportato da ciascun componente del gruppo al lavoro e dell</w:t>
      </w:r>
      <w:r w:rsidR="00524E26">
        <w:t>a performance di</w:t>
      </w:r>
      <w:r w:rsidR="00606BF8">
        <w:t xml:space="preserve"> presentazione in aula.</w:t>
      </w:r>
      <w:r w:rsidR="00674D56">
        <w:t xml:space="preserve"> Ai fini della valutazione </w:t>
      </w:r>
      <w:r w:rsidR="00524E26">
        <w:t xml:space="preserve">generale </w:t>
      </w:r>
      <w:r w:rsidR="00674D56">
        <w:t xml:space="preserve">dell’assignment concorreranno l’aderenza </w:t>
      </w:r>
      <w:r w:rsidR="007524C4">
        <w:t xml:space="preserve">dell’elaborato </w:t>
      </w:r>
      <w:r w:rsidR="00674D56">
        <w:t>rispetto alle task richieste, la pertinenza e la profondità dell’analisi</w:t>
      </w:r>
      <w:r w:rsidR="00524E26">
        <w:t xml:space="preserve"> effettuata, l’innovatività e l’originalità del trend di consumo individuato, la rilevanza dell’impatto del trend individuato sulla comunicazione tra i consumatori e sulle strategie di marca</w:t>
      </w:r>
      <w:r w:rsidR="00674D56">
        <w:t xml:space="preserve">. I quattro fattori verranno valutati in trentesimi e avranno ciascuno un peso percentuale pari al 25% del voto finale </w:t>
      </w:r>
      <w:r w:rsidR="005D28BF">
        <w:t>dell’assignment</w:t>
      </w:r>
      <w:r w:rsidR="00674D56">
        <w:t>.</w:t>
      </w:r>
    </w:p>
    <w:p w14:paraId="3EA98BEC" w14:textId="48580BB6" w:rsidR="00642B8F" w:rsidRDefault="00642B8F" w:rsidP="00642B8F">
      <w:pPr>
        <w:pStyle w:val="Testo2"/>
      </w:pPr>
      <w:r>
        <w:t xml:space="preserve">Il </w:t>
      </w:r>
      <w:r w:rsidRPr="007717D7">
        <w:rPr>
          <w:i/>
          <w:iCs/>
        </w:rPr>
        <w:t>project work a gruppi</w:t>
      </w:r>
      <w:r>
        <w:t xml:space="preserve"> prevede la progettazione di un activation plan di comunicazione di marca su indicazione dell’</w:t>
      </w:r>
      <w:r w:rsidR="006A0433">
        <w:t>azienda</w:t>
      </w:r>
      <w:r>
        <w:t xml:space="preserve"> partner e pesa il </w:t>
      </w:r>
      <w:r w:rsidR="00606BF8">
        <w:t>4</w:t>
      </w:r>
      <w:r>
        <w:t>0% del voto finale.</w:t>
      </w:r>
      <w:r w:rsidR="00DD501A">
        <w:t xml:space="preserve"> Ai fini della valutazione del project work aziendale concorreranno l’aderenza rispetto alle richieste del brief, la varietà e la profondità della proposta, l’originalità e l’applicabilità delle idee proposte. I quattro fattori verranno valutati in trentesimi e avranno ciascuno un peso percentuale pari al 25% del voto finale del project work.</w:t>
      </w:r>
    </w:p>
    <w:p w14:paraId="0969B288" w14:textId="6083D2CE" w:rsidR="00642B8F" w:rsidRDefault="00642B8F" w:rsidP="00642B8F">
      <w:pPr>
        <w:pStyle w:val="Testo2"/>
      </w:pPr>
      <w:r>
        <w:t xml:space="preserve">Per gli </w:t>
      </w:r>
      <w:r w:rsidRPr="00F82642">
        <w:rPr>
          <w:i/>
        </w:rPr>
        <w:t>studenti non frequentanti</w:t>
      </w:r>
      <w:r>
        <w:t xml:space="preserve"> il corso prevede un esame scritto finale individuale, costituito da tre domande di carattere teorico-applicativo inerenti il materiale bibliografico indicato per lo studio.</w:t>
      </w:r>
      <w:r w:rsidR="00DD501A">
        <w:t xml:space="preserve"> Ai fini della valutazione dell’esame scritto concorreranno la pertinenza delle risposte, l’uso appropriato della terminologia specifica, la strutturazione argomentata e coerente del discorso e la capacità di individuare nessi concettuali tra i contenuti.</w:t>
      </w:r>
    </w:p>
    <w:p w14:paraId="36F2BE0F" w14:textId="0014C6AF" w:rsidR="00642B8F" w:rsidRDefault="00642B8F" w:rsidP="00642B8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2E77DC">
        <w:rPr>
          <w:b/>
          <w:i/>
          <w:sz w:val="18"/>
        </w:rPr>
        <w:t xml:space="preserve"> E PREREQUISITI</w:t>
      </w:r>
    </w:p>
    <w:p w14:paraId="24101E04" w14:textId="77777777" w:rsidR="00B8073F" w:rsidRDefault="002E77DC" w:rsidP="00642B8F">
      <w:pPr>
        <w:pStyle w:val="Testo2"/>
      </w:pPr>
      <w:r>
        <w:t xml:space="preserve">Ai fini di una proficua frequenza del corso, sarebbe auspicabile </w:t>
      </w:r>
      <w:r w:rsidR="00B8073F">
        <w:t xml:space="preserve">per gli studenti possedere conoscenze di base di marketing. </w:t>
      </w:r>
    </w:p>
    <w:p w14:paraId="19721733" w14:textId="674AEA9A" w:rsidR="00642B8F" w:rsidRDefault="00642B8F" w:rsidP="00642B8F">
      <w:pPr>
        <w:pStyle w:val="Testo2"/>
      </w:pPr>
      <w:r>
        <w:t>Gli studenti interessati ad una tesi in Economia e tecnica della comunicazione aziendale sono invitati a consultare periodicamente la bacheca virtuale della pagina web della docente all’interno del sito dell’Ateneo per prendere visione delle date degli incontri con i candidati tesisti.</w:t>
      </w:r>
    </w:p>
    <w:p w14:paraId="48F0B986" w14:textId="77777777" w:rsidR="00642B8F" w:rsidRPr="00F82642" w:rsidRDefault="00642B8F" w:rsidP="00642B8F">
      <w:pPr>
        <w:pStyle w:val="Testo2"/>
        <w:spacing w:before="120"/>
        <w:rPr>
          <w:i/>
        </w:rPr>
      </w:pPr>
      <w:r w:rsidRPr="00F82642">
        <w:rPr>
          <w:i/>
        </w:rPr>
        <w:t>Orario e luogo di ricevimento</w:t>
      </w:r>
    </w:p>
    <w:p w14:paraId="560A13C8" w14:textId="77777777" w:rsidR="00642B8F" w:rsidRPr="00642B8F" w:rsidRDefault="00642B8F" w:rsidP="00642B8F">
      <w:pPr>
        <w:pStyle w:val="Testo2"/>
      </w:pPr>
      <w:r>
        <w:t>Il Prof. Rossella Chiara Gambetti riceve gli studenti nella fascia oraria pubblicata sulla pagina web docente, attraverso appuntamento fissato per e-mail.</w:t>
      </w:r>
    </w:p>
    <w:sectPr w:rsidR="00642B8F" w:rsidRPr="00642B8F" w:rsidSect="004D1217">
      <w:headerReference w:type="default" r:id="rId13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79C9D" w14:textId="77777777" w:rsidR="00DD3297" w:rsidRDefault="00DD3297" w:rsidP="006A0433">
      <w:pPr>
        <w:spacing w:line="240" w:lineRule="auto"/>
      </w:pPr>
      <w:r>
        <w:separator/>
      </w:r>
    </w:p>
  </w:endnote>
  <w:endnote w:type="continuationSeparator" w:id="0">
    <w:p w14:paraId="19DA9E04" w14:textId="77777777" w:rsidR="00DD3297" w:rsidRDefault="00DD3297" w:rsidP="006A0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510C7" w14:textId="77777777" w:rsidR="00DD3297" w:rsidRDefault="00DD3297" w:rsidP="006A0433">
      <w:pPr>
        <w:spacing w:line="240" w:lineRule="auto"/>
      </w:pPr>
      <w:r>
        <w:separator/>
      </w:r>
    </w:p>
  </w:footnote>
  <w:footnote w:type="continuationSeparator" w:id="0">
    <w:p w14:paraId="0030B07C" w14:textId="77777777" w:rsidR="00DD3297" w:rsidRDefault="00DD3297" w:rsidP="006A0433">
      <w:pPr>
        <w:spacing w:line="240" w:lineRule="auto"/>
      </w:pPr>
      <w:r>
        <w:continuationSeparator/>
      </w:r>
    </w:p>
  </w:footnote>
  <w:footnote w:id="1">
    <w:p w14:paraId="3C3C3D88" w14:textId="77777777" w:rsidR="003824EB" w:rsidRPr="001D7759" w:rsidRDefault="003824EB" w:rsidP="003824EB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00015587" w14:textId="3F5508B7" w:rsidR="003824EB" w:rsidRDefault="003824EB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852AD" w14:textId="77777777" w:rsidR="00A94D62" w:rsidRDefault="00A94D62">
    <w:pPr>
      <w:pStyle w:val="Intestazione"/>
    </w:pPr>
  </w:p>
  <w:p w14:paraId="4BA8684D" w14:textId="77777777" w:rsidR="00A94D62" w:rsidRDefault="00A94D6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C7779"/>
    <w:multiLevelType w:val="hybridMultilevel"/>
    <w:tmpl w:val="60C4A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12947"/>
    <w:multiLevelType w:val="hybridMultilevel"/>
    <w:tmpl w:val="03AE9E3A"/>
    <w:lvl w:ilvl="0" w:tplc="8398C56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EC"/>
    <w:rsid w:val="0006111A"/>
    <w:rsid w:val="000901A9"/>
    <w:rsid w:val="000941A2"/>
    <w:rsid w:val="000A4B72"/>
    <w:rsid w:val="000B1F38"/>
    <w:rsid w:val="000B62D3"/>
    <w:rsid w:val="001E49CC"/>
    <w:rsid w:val="002E77DC"/>
    <w:rsid w:val="002F18D8"/>
    <w:rsid w:val="00305DB8"/>
    <w:rsid w:val="00336388"/>
    <w:rsid w:val="003824EB"/>
    <w:rsid w:val="003A15C9"/>
    <w:rsid w:val="004A0E95"/>
    <w:rsid w:val="004C6A9C"/>
    <w:rsid w:val="004D1217"/>
    <w:rsid w:val="004D35EF"/>
    <w:rsid w:val="004D6008"/>
    <w:rsid w:val="00524E26"/>
    <w:rsid w:val="005D28BF"/>
    <w:rsid w:val="00606BF8"/>
    <w:rsid w:val="00642B8F"/>
    <w:rsid w:val="00653D38"/>
    <w:rsid w:val="0066086B"/>
    <w:rsid w:val="006661EC"/>
    <w:rsid w:val="00674D56"/>
    <w:rsid w:val="00687DC7"/>
    <w:rsid w:val="006A0433"/>
    <w:rsid w:val="006B001D"/>
    <w:rsid w:val="006C277B"/>
    <w:rsid w:val="006F1772"/>
    <w:rsid w:val="0070141A"/>
    <w:rsid w:val="00717F90"/>
    <w:rsid w:val="007524C4"/>
    <w:rsid w:val="007717D7"/>
    <w:rsid w:val="00777D12"/>
    <w:rsid w:val="007F625A"/>
    <w:rsid w:val="0081383F"/>
    <w:rsid w:val="008C20C6"/>
    <w:rsid w:val="00940DA2"/>
    <w:rsid w:val="00A52DD6"/>
    <w:rsid w:val="00A94D62"/>
    <w:rsid w:val="00B30D30"/>
    <w:rsid w:val="00B33C21"/>
    <w:rsid w:val="00B56A46"/>
    <w:rsid w:val="00B777F9"/>
    <w:rsid w:val="00B8073F"/>
    <w:rsid w:val="00C4047B"/>
    <w:rsid w:val="00C414E0"/>
    <w:rsid w:val="00C74177"/>
    <w:rsid w:val="00C94693"/>
    <w:rsid w:val="00C96F9E"/>
    <w:rsid w:val="00CA7EB0"/>
    <w:rsid w:val="00CD0DFE"/>
    <w:rsid w:val="00CD46B7"/>
    <w:rsid w:val="00DC6315"/>
    <w:rsid w:val="00DD3297"/>
    <w:rsid w:val="00DD501A"/>
    <w:rsid w:val="00DF0A0A"/>
    <w:rsid w:val="00DF35BD"/>
    <w:rsid w:val="00E526F2"/>
    <w:rsid w:val="00E60CA0"/>
    <w:rsid w:val="00E60FED"/>
    <w:rsid w:val="00E902F1"/>
    <w:rsid w:val="00E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91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CA0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CA0"/>
    <w:rPr>
      <w:rFonts w:ascii="Times" w:hAnsi="Times"/>
      <w:smallCaps/>
      <w:noProof/>
      <w:sz w:val="18"/>
    </w:rPr>
  </w:style>
  <w:style w:type="paragraph" w:styleId="Testofumetto">
    <w:name w:val="Balloon Text"/>
    <w:basedOn w:val="Normale"/>
    <w:link w:val="TestofumettoCarattere"/>
    <w:rsid w:val="00B777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777F9"/>
    <w:rPr>
      <w:rFonts w:ascii="Tahoma" w:eastAsia="MS Mincho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A043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0433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6A043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A0433"/>
    <w:rPr>
      <w:rFonts w:eastAsia="MS Mincho"/>
      <w:szCs w:val="24"/>
    </w:rPr>
  </w:style>
  <w:style w:type="paragraph" w:styleId="Paragrafoelenco">
    <w:name w:val="List Paragraph"/>
    <w:basedOn w:val="Normale"/>
    <w:uiPriority w:val="34"/>
    <w:qFormat/>
    <w:rsid w:val="000B62D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3824E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824EB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3824EB"/>
    <w:rPr>
      <w:vertAlign w:val="superscript"/>
    </w:rPr>
  </w:style>
  <w:style w:type="character" w:styleId="Collegamentoipertestuale">
    <w:name w:val="Hyperlink"/>
    <w:basedOn w:val="Carpredefinitoparagrafo"/>
    <w:unhideWhenUsed/>
    <w:rsid w:val="00E526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CA0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CA0"/>
    <w:rPr>
      <w:rFonts w:ascii="Times" w:hAnsi="Times"/>
      <w:smallCaps/>
      <w:noProof/>
      <w:sz w:val="18"/>
    </w:rPr>
  </w:style>
  <w:style w:type="paragraph" w:styleId="Testofumetto">
    <w:name w:val="Balloon Text"/>
    <w:basedOn w:val="Normale"/>
    <w:link w:val="TestofumettoCarattere"/>
    <w:rsid w:val="00B777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777F9"/>
    <w:rPr>
      <w:rFonts w:ascii="Tahoma" w:eastAsia="MS Mincho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A043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0433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6A043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A0433"/>
    <w:rPr>
      <w:rFonts w:eastAsia="MS Mincho"/>
      <w:szCs w:val="24"/>
    </w:rPr>
  </w:style>
  <w:style w:type="paragraph" w:styleId="Paragrafoelenco">
    <w:name w:val="List Paragraph"/>
    <w:basedOn w:val="Normale"/>
    <w:uiPriority w:val="34"/>
    <w:qFormat/>
    <w:rsid w:val="000B62D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3824E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824EB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3824EB"/>
    <w:rPr>
      <w:vertAlign w:val="superscript"/>
    </w:rPr>
  </w:style>
  <w:style w:type="character" w:styleId="Collegamentoipertestuale">
    <w:name w:val="Hyperlink"/>
    <w:basedOn w:val="Carpredefinitoparagrafo"/>
    <w:unhideWhenUsed/>
    <w:rsid w:val="00E52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kozinets-robert/netnography-9781526444707-68634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silvia-biraghi/agenzie-di-comunicazione-e-clienti-come-cambiano-le-relazioni-nel-tempo-della-discontinuita-9788891750945-246996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gambetti-quigley/managing-corporate-communication-a-cross-cultural-approach-9780230348028-18936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ossella-c-gambetti-renato-fiocca-chiara-solerio/brand-experience-relazioni-impresa-cliente-e-valore-di-marca-9788891728920-233377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E4EB1-297B-4688-9075-80DBBCBA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35</TotalTime>
  <Pages>4</Pages>
  <Words>1335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Caputo Chiara</cp:lastModifiedBy>
  <cp:revision>4</cp:revision>
  <cp:lastPrinted>2016-05-31T11:23:00Z</cp:lastPrinted>
  <dcterms:created xsi:type="dcterms:W3CDTF">2021-05-21T07:25:00Z</dcterms:created>
  <dcterms:modified xsi:type="dcterms:W3CDTF">2021-07-21T08:58:00Z</dcterms:modified>
</cp:coreProperties>
</file>