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Pr="00003876" w:rsidRDefault="00003876" w:rsidP="00003876">
      <w:pPr>
        <w:pStyle w:val="Titolo1"/>
      </w:pPr>
      <w:r w:rsidRPr="00003876">
        <w:t>Antropologia religiosa e media</w:t>
      </w:r>
    </w:p>
    <w:p w:rsidR="00003876" w:rsidRPr="00003876" w:rsidRDefault="00003876" w:rsidP="00003876">
      <w:pPr>
        <w:pStyle w:val="Titolo2"/>
      </w:pPr>
      <w:r w:rsidRPr="00003876">
        <w:t>Prof. Silvano Petrosino</w:t>
      </w:r>
    </w:p>
    <w:p w:rsidR="00003876" w:rsidRDefault="00003876" w:rsidP="00003876">
      <w:pPr>
        <w:spacing w:before="240" w:after="120" w:line="240" w:lineRule="exact"/>
        <w:rPr>
          <w:b/>
          <w:sz w:val="18"/>
        </w:rPr>
      </w:pPr>
      <w:r>
        <w:rPr>
          <w:b/>
          <w:i/>
          <w:sz w:val="18"/>
        </w:rPr>
        <w:t>OBIETTIVO DEL CORSO E RISULTATI DI APPRENDIMENTO ATTESI</w:t>
      </w:r>
    </w:p>
    <w:p w:rsidR="00003876" w:rsidRDefault="00003876" w:rsidP="008C723F">
      <w:pPr>
        <w:spacing w:line="240" w:lineRule="exact"/>
        <w:rPr>
          <w:b/>
          <w:bCs/>
        </w:rPr>
      </w:pPr>
      <w:r>
        <w:t xml:space="preserve">L'insegnamento si propone di fornire agli studenti le nozioni fondamentali per lo studio della dimensione religiosa dell'esperienza umana all'interno dell'attuale società del consumo e dello spettacolo. Al termine dell'insegnamento lo studente sarà in grado di riconoscere e descrivere i tratti principali dell'esperienza religiosa assumendo in particolare un atteggiamento critico nei confronti dell'utilizzazione degli stilemi religiosi all'interno dell'attuale società </w:t>
      </w:r>
      <w:r w:rsidR="008C723F">
        <w:t>del consumo e dello spettacolo.</w:t>
      </w:r>
    </w:p>
    <w:p w:rsidR="00003876" w:rsidRDefault="00003876" w:rsidP="00003876">
      <w:pPr>
        <w:spacing w:before="240" w:after="120" w:line="240" w:lineRule="exact"/>
        <w:rPr>
          <w:b/>
          <w:sz w:val="18"/>
        </w:rPr>
      </w:pPr>
      <w:r>
        <w:rPr>
          <w:b/>
          <w:i/>
          <w:sz w:val="18"/>
        </w:rPr>
        <w:t>PROGRAMMA DEL CORSO</w:t>
      </w:r>
    </w:p>
    <w:p w:rsidR="00003876" w:rsidRDefault="00003876" w:rsidP="008C723F">
      <w:pPr>
        <w:spacing w:line="240" w:lineRule="exact"/>
      </w:pPr>
      <w:r>
        <w:t>Una prima parte del corso si soffermerà sull</w:t>
      </w:r>
      <w:r w:rsidR="000E457B">
        <w:t>e definizioni</w:t>
      </w:r>
      <w:r>
        <w:t xml:space="preserve"> di alcune categorie di fondo dell'antropologia religiosa, quali ad esempio: homo </w:t>
      </w:r>
      <w:proofErr w:type="spellStart"/>
      <w:r>
        <w:t>religiosus</w:t>
      </w:r>
      <w:proofErr w:type="spellEnd"/>
      <w:r>
        <w:t>, segno e simbolo, ierofania, religiosità e religioni, sacro e profano, sacro e santo.</w:t>
      </w:r>
    </w:p>
    <w:p w:rsidR="00003876" w:rsidRPr="0038438E" w:rsidRDefault="00003876" w:rsidP="008C723F">
      <w:pPr>
        <w:spacing w:line="240" w:lineRule="exact"/>
      </w:pPr>
      <w:r>
        <w:t xml:space="preserve">Nella seconda parte del corso si analizzeranno alcune delle principali derive che la dimensione religiosa assume all'interno dell'attuale società del consumo e dello spettacolo con particolare attenzione al processo di trasformazione del divino in idolo. </w:t>
      </w:r>
    </w:p>
    <w:p w:rsidR="00003876" w:rsidRPr="008C723F" w:rsidRDefault="00003876" w:rsidP="008C723F">
      <w:pPr>
        <w:spacing w:before="240" w:after="120" w:line="240" w:lineRule="exact"/>
        <w:rPr>
          <w:b/>
          <w:i/>
          <w:sz w:val="18"/>
        </w:rPr>
      </w:pPr>
      <w:r>
        <w:rPr>
          <w:b/>
          <w:i/>
          <w:sz w:val="18"/>
        </w:rPr>
        <w:t>BIBLIOGRAFIA</w:t>
      </w:r>
      <w:r w:rsidR="00E474CF">
        <w:rPr>
          <w:rStyle w:val="Rimandonotaapidipagina"/>
          <w:b/>
          <w:i/>
          <w:sz w:val="18"/>
        </w:rPr>
        <w:footnoteReference w:id="1"/>
      </w:r>
    </w:p>
    <w:p w:rsidR="00003876" w:rsidRPr="008C723F" w:rsidRDefault="00003876" w:rsidP="008C723F">
      <w:pPr>
        <w:pStyle w:val="Testo1"/>
      </w:pPr>
      <w:r w:rsidRPr="008C723F">
        <w:t>Testi adottati:</w:t>
      </w:r>
    </w:p>
    <w:p w:rsidR="00003876" w:rsidRPr="008C723F" w:rsidRDefault="008C723F" w:rsidP="008C723F">
      <w:pPr>
        <w:pStyle w:val="Testo1"/>
        <w:spacing w:before="0"/>
      </w:pPr>
      <w:r>
        <w:t>1.</w:t>
      </w:r>
      <w:r>
        <w:tab/>
      </w:r>
      <w:r w:rsidR="00003876" w:rsidRPr="008C723F">
        <w:t xml:space="preserve">A. Guerrieri, </w:t>
      </w:r>
      <w:r w:rsidR="00003876" w:rsidRPr="008C723F">
        <w:rPr>
          <w:i/>
        </w:rPr>
        <w:t>Apple come esperienza religiosa</w:t>
      </w:r>
      <w:r w:rsidR="00003876" w:rsidRPr="008C723F">
        <w:t>, Mimesi Edizioni, Milano</w:t>
      </w:r>
      <w:r>
        <w:t>,</w:t>
      </w:r>
      <w:r w:rsidR="00003876" w:rsidRPr="008C723F">
        <w:t xml:space="preserve"> 2013.</w:t>
      </w:r>
      <w:r w:rsidR="00E474CF">
        <w:t xml:space="preserve"> </w:t>
      </w:r>
      <w:hyperlink r:id="rId8" w:history="1">
        <w:r w:rsidR="00E474CF" w:rsidRPr="00E474CF">
          <w:rPr>
            <w:rStyle w:val="Collegamentoipertestuale"/>
            <w:rFonts w:ascii="Times New Roman" w:hAnsi="Times New Roman"/>
            <w:i/>
            <w:sz w:val="16"/>
            <w:szCs w:val="16"/>
          </w:rPr>
          <w:t>Acquista da VP</w:t>
        </w:r>
      </w:hyperlink>
    </w:p>
    <w:p w:rsidR="00003876" w:rsidRPr="008C723F" w:rsidRDefault="008C723F" w:rsidP="008C723F">
      <w:pPr>
        <w:pStyle w:val="Testo1"/>
        <w:spacing w:before="0"/>
      </w:pPr>
      <w:r>
        <w:t>2.</w:t>
      </w:r>
      <w:r>
        <w:tab/>
      </w:r>
      <w:r w:rsidR="000E457B" w:rsidRPr="008C723F">
        <w:t>S. Petrosino</w:t>
      </w:r>
      <w:r w:rsidR="000E457B" w:rsidRPr="008C723F">
        <w:rPr>
          <w:i/>
        </w:rPr>
        <w:t>, L'idolo. Teoria di una tentazione dalla Bibbia a Lacan</w:t>
      </w:r>
      <w:r w:rsidR="000E457B" w:rsidRPr="008C723F">
        <w:t>, Mimesis Edizioni, Milano</w:t>
      </w:r>
      <w:r w:rsidR="000E457B">
        <w:t>,</w:t>
      </w:r>
      <w:r w:rsidR="000E457B" w:rsidRPr="008C723F">
        <w:t xml:space="preserve"> 2015.</w:t>
      </w:r>
      <w:r w:rsidR="000E457B">
        <w:t xml:space="preserve"> </w:t>
      </w:r>
      <w:hyperlink r:id="rId9" w:history="1">
        <w:r w:rsidR="000E457B" w:rsidRPr="00E474CF">
          <w:rPr>
            <w:rStyle w:val="Collegamentoipertestuale"/>
            <w:rFonts w:ascii="Times New Roman" w:hAnsi="Times New Roman"/>
            <w:i/>
            <w:sz w:val="16"/>
            <w:szCs w:val="16"/>
          </w:rPr>
          <w:t>Acquista da VP</w:t>
        </w:r>
      </w:hyperlink>
    </w:p>
    <w:p w:rsidR="00003876" w:rsidRPr="008C723F" w:rsidRDefault="008C723F" w:rsidP="008C723F">
      <w:pPr>
        <w:pStyle w:val="Testo1"/>
        <w:spacing w:before="0"/>
      </w:pPr>
      <w:r>
        <w:t>3.</w:t>
      </w:r>
      <w:r>
        <w:tab/>
      </w:r>
      <w:r w:rsidR="000E457B" w:rsidRPr="008C723F">
        <w:t xml:space="preserve">S. Petrosino, </w:t>
      </w:r>
      <w:r w:rsidR="000E457B" w:rsidRPr="008C723F">
        <w:rPr>
          <w:i/>
        </w:rPr>
        <w:t>Emmanuel Levinas. Le due sapienze</w:t>
      </w:r>
      <w:r w:rsidR="000E457B" w:rsidRPr="008C723F">
        <w:t>, Feltrinelli, Milano</w:t>
      </w:r>
      <w:r w:rsidR="000E457B">
        <w:t>,</w:t>
      </w:r>
      <w:r w:rsidR="000E457B" w:rsidRPr="008C723F">
        <w:t xml:space="preserve"> 2017.</w:t>
      </w:r>
      <w:r w:rsidR="000E457B">
        <w:t xml:space="preserve"> </w:t>
      </w:r>
      <w:hyperlink r:id="rId10" w:history="1">
        <w:r w:rsidR="000E457B" w:rsidRPr="00E474CF">
          <w:rPr>
            <w:rStyle w:val="Collegamentoipertestuale"/>
            <w:rFonts w:ascii="Times New Roman" w:hAnsi="Times New Roman"/>
            <w:i/>
            <w:sz w:val="16"/>
            <w:szCs w:val="16"/>
          </w:rPr>
          <w:t>Acquista da VP</w:t>
        </w:r>
      </w:hyperlink>
    </w:p>
    <w:p w:rsidR="00611BA5" w:rsidRPr="00437C2F" w:rsidRDefault="008C723F" w:rsidP="00611BA5">
      <w:pPr>
        <w:spacing w:line="240" w:lineRule="auto"/>
        <w:rPr>
          <w:i/>
          <w:color w:val="0070C0"/>
          <w:sz w:val="16"/>
          <w:szCs w:val="16"/>
        </w:rPr>
      </w:pPr>
      <w:r>
        <w:t>4.</w:t>
      </w:r>
      <w:r>
        <w:tab/>
      </w:r>
      <w:r w:rsidR="000E457B" w:rsidRPr="000E457B">
        <w:rPr>
          <w:bCs/>
        </w:rPr>
        <w:t xml:space="preserve">S. Petrosino, </w:t>
      </w:r>
      <w:r w:rsidR="000E457B" w:rsidRPr="000E457B">
        <w:rPr>
          <w:i/>
        </w:rPr>
        <w:t>Il desiderio. Non siamo figli delle stelle,</w:t>
      </w:r>
      <w:r w:rsidR="000E457B" w:rsidRPr="000E457B">
        <w:rPr>
          <w:bCs/>
        </w:rPr>
        <w:t xml:space="preserve"> Vita e Pensiero 2019.</w:t>
      </w:r>
      <w:r w:rsidR="00611BA5" w:rsidRPr="00611BA5">
        <w:rPr>
          <w:i/>
          <w:color w:val="0070C0"/>
          <w:sz w:val="16"/>
          <w:szCs w:val="16"/>
        </w:rPr>
        <w:t xml:space="preserve"> </w:t>
      </w:r>
      <w:hyperlink r:id="rId11" w:history="1">
        <w:r w:rsidR="00611BA5" w:rsidRPr="00611BA5">
          <w:rPr>
            <w:rStyle w:val="Collegamentoipertestuale"/>
            <w:i/>
            <w:sz w:val="16"/>
            <w:szCs w:val="16"/>
          </w:rPr>
          <w:t>Acquista da VP</w:t>
        </w:r>
      </w:hyperlink>
      <w:bookmarkStart w:id="0" w:name="_GoBack"/>
      <w:bookmarkEnd w:id="0"/>
    </w:p>
    <w:p w:rsidR="00003876" w:rsidRPr="008C723F" w:rsidRDefault="00003876" w:rsidP="008C723F">
      <w:pPr>
        <w:pStyle w:val="Testo1"/>
        <w:spacing w:before="0"/>
      </w:pPr>
    </w:p>
    <w:p w:rsidR="00003876" w:rsidRDefault="00003876" w:rsidP="00003876">
      <w:pPr>
        <w:spacing w:before="240" w:after="120"/>
        <w:rPr>
          <w:b/>
          <w:i/>
          <w:sz w:val="18"/>
          <w:lang w:eastAsia="ar-SA"/>
        </w:rPr>
      </w:pPr>
      <w:r>
        <w:rPr>
          <w:b/>
          <w:i/>
          <w:sz w:val="18"/>
          <w:lang w:eastAsia="ar-SA"/>
        </w:rPr>
        <w:t>DIDATTICA DEL CORSO</w:t>
      </w:r>
    </w:p>
    <w:p w:rsidR="00003876" w:rsidRDefault="00003876" w:rsidP="00003876">
      <w:pPr>
        <w:pStyle w:val="Testo2"/>
      </w:pPr>
      <w:r>
        <w:t>Lezioni frontali in aula; è inoltre previsto un seminario facoltativo di approfondimento su alcuni testi del programma d’esame.</w:t>
      </w:r>
    </w:p>
    <w:p w:rsidR="00003876" w:rsidRDefault="00003876" w:rsidP="00003876">
      <w:pPr>
        <w:spacing w:before="240" w:after="120"/>
        <w:rPr>
          <w:b/>
          <w:i/>
          <w:sz w:val="18"/>
          <w:lang w:eastAsia="ar-SA"/>
        </w:rPr>
      </w:pPr>
      <w:r>
        <w:rPr>
          <w:b/>
          <w:i/>
          <w:sz w:val="18"/>
          <w:lang w:eastAsia="ar-SA"/>
        </w:rPr>
        <w:lastRenderedPageBreak/>
        <w:t>METODO E CRITERI DI VALUTAZIONE</w:t>
      </w:r>
    </w:p>
    <w:p w:rsidR="00F102D2" w:rsidRPr="00F102D2" w:rsidRDefault="000E457B" w:rsidP="00F102D2">
      <w:pPr>
        <w:pStyle w:val="Testo2"/>
      </w:pPr>
      <w:r w:rsidRPr="000E457B">
        <w:t xml:space="preserve">L'esame è orale. Esso è articolato in due momenti: da una parte si cercherà di verificare l'adeguata comprensione delle nozioni fondamentali relative all'antropologia religiosa; dall'altra parte si cercherà anche di verificare la capacità dello studente di sviluppare, con precisi riferimenti ai testi d'esame, un ragionamento personale e soprattutto critico nei confronti dell'immagine della religiosità e delle religioni fornita dai media. In particolare si valuterà la capacità dello studente di situare la figura dell'«idolo» all'interno della problematica antropologica mettendola in relazione soprattutto con la dinamica del «desidero»; in tal senso i testi che costituiranno la base della valutazione dell'esame saranno principalmente: </w:t>
      </w:r>
      <w:r w:rsidRPr="000E457B">
        <w:rPr>
          <w:i/>
          <w:iCs/>
        </w:rPr>
        <w:t>Il desiderio. Non siamo figli delle stelle</w:t>
      </w:r>
      <w:r w:rsidRPr="000E457B">
        <w:t xml:space="preserve"> e </w:t>
      </w:r>
      <w:r w:rsidRPr="000E457B">
        <w:rPr>
          <w:i/>
        </w:rPr>
        <w:t>L'idolo. Teoria di una tentazione dalla Bibbia a Lacan</w:t>
      </w:r>
      <w:r w:rsidRPr="000E457B">
        <w:t>. In un secondo momento si valuterà la capacità del candidato di leggere ed interpretare l'utilizzazione da parte degli strumenti di comunicazione di massa dell'universo simbolico relativo alla sfera del sacro con particolare attenzione al mondo digitale e ai processi pubblicitari. L'esame si svilupperà attorno a tre/quattro domande che nella valutazione finale avranno tutte lo stesso peso</w:t>
      </w:r>
      <w:r w:rsidR="00F102D2" w:rsidRPr="00F102D2">
        <w:t xml:space="preserve">  </w:t>
      </w:r>
    </w:p>
    <w:p w:rsidR="00003876" w:rsidRDefault="00003876" w:rsidP="00003876">
      <w:pPr>
        <w:spacing w:before="240" w:after="120" w:line="240" w:lineRule="exact"/>
        <w:rPr>
          <w:b/>
          <w:i/>
          <w:sz w:val="18"/>
          <w:lang w:eastAsia="ar-SA"/>
        </w:rPr>
      </w:pPr>
      <w:r>
        <w:rPr>
          <w:b/>
          <w:i/>
          <w:sz w:val="18"/>
          <w:lang w:eastAsia="ar-SA"/>
        </w:rPr>
        <w:t>AVVERTENZE E PREREQUISITI</w:t>
      </w:r>
    </w:p>
    <w:p w:rsidR="00003876" w:rsidRDefault="00003876" w:rsidP="00003876">
      <w:pPr>
        <w:pStyle w:val="Testo2"/>
      </w:pPr>
      <w:r>
        <w:t>Lo studente dovrà possedere conoscenze di base relative alla tematica antropologica e al funzionamento del sistema dei media.</w:t>
      </w:r>
    </w:p>
    <w:p w:rsidR="00301D21" w:rsidRDefault="00301D21" w:rsidP="00301D21">
      <w:pPr>
        <w:pStyle w:val="Testo2"/>
      </w:pPr>
      <w:r>
        <w:t>Nel caso in cui la situazione sanitaria relativa alla pandemia di Covid-19 non dovesse consentire la didattica in presenza, sarà garantita l’erogazione a distanza dell’insegnamento con modalità che verranno comunicate in tempo utile agli studenti</w:t>
      </w:r>
    </w:p>
    <w:p w:rsidR="00003876" w:rsidRPr="00003876" w:rsidRDefault="00003876" w:rsidP="00003876">
      <w:pPr>
        <w:pStyle w:val="Testo2"/>
        <w:spacing w:before="120"/>
        <w:rPr>
          <w:i/>
          <w:lang w:eastAsia="ar-SA"/>
        </w:rPr>
      </w:pPr>
      <w:r w:rsidRPr="00003876">
        <w:rPr>
          <w:i/>
          <w:lang w:eastAsia="ar-SA"/>
        </w:rPr>
        <w:t>Orario e luogo di ricevimento</w:t>
      </w:r>
    </w:p>
    <w:p w:rsidR="00003876" w:rsidRPr="00003876" w:rsidRDefault="008C723F" w:rsidP="00003876">
      <w:pPr>
        <w:pStyle w:val="Testo2"/>
      </w:pPr>
      <w:r>
        <w:t>Il Prof. Silvano Petrosio comunicherà al</w:t>
      </w:r>
      <w:r w:rsidR="00003876">
        <w:t>l’inizio del corso</w:t>
      </w:r>
      <w:r>
        <w:t xml:space="preserve"> orario e luogo di ricevimento degli studenti</w:t>
      </w:r>
      <w:r w:rsidR="00003876">
        <w:t>.</w:t>
      </w:r>
    </w:p>
    <w:sectPr w:rsidR="00003876" w:rsidRPr="0000387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4CF" w:rsidRDefault="00E474CF" w:rsidP="00E474CF">
      <w:pPr>
        <w:spacing w:line="240" w:lineRule="auto"/>
      </w:pPr>
      <w:r>
        <w:separator/>
      </w:r>
    </w:p>
  </w:endnote>
  <w:endnote w:type="continuationSeparator" w:id="0">
    <w:p w:rsidR="00E474CF" w:rsidRDefault="00E474CF" w:rsidP="00E474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4CF" w:rsidRDefault="00E474CF" w:rsidP="00E474CF">
      <w:pPr>
        <w:spacing w:line="240" w:lineRule="auto"/>
      </w:pPr>
      <w:r>
        <w:separator/>
      </w:r>
    </w:p>
  </w:footnote>
  <w:footnote w:type="continuationSeparator" w:id="0">
    <w:p w:rsidR="00E474CF" w:rsidRDefault="00E474CF" w:rsidP="00E474CF">
      <w:pPr>
        <w:spacing w:line="240" w:lineRule="auto"/>
      </w:pPr>
      <w:r>
        <w:continuationSeparator/>
      </w:r>
    </w:p>
  </w:footnote>
  <w:footnote w:id="1">
    <w:p w:rsidR="00E474CF" w:rsidRDefault="00E474C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76"/>
    <w:rsid w:val="00003876"/>
    <w:rsid w:val="000E457B"/>
    <w:rsid w:val="00187B99"/>
    <w:rsid w:val="002014DD"/>
    <w:rsid w:val="002D5E17"/>
    <w:rsid w:val="00301D21"/>
    <w:rsid w:val="004D1217"/>
    <w:rsid w:val="004D6008"/>
    <w:rsid w:val="00611BA5"/>
    <w:rsid w:val="00640794"/>
    <w:rsid w:val="006F1772"/>
    <w:rsid w:val="008942E7"/>
    <w:rsid w:val="008A1204"/>
    <w:rsid w:val="008C723F"/>
    <w:rsid w:val="00900CCA"/>
    <w:rsid w:val="00924B77"/>
    <w:rsid w:val="00925A58"/>
    <w:rsid w:val="00940DA2"/>
    <w:rsid w:val="009E055C"/>
    <w:rsid w:val="00A74F6F"/>
    <w:rsid w:val="00AD7557"/>
    <w:rsid w:val="00B50C5D"/>
    <w:rsid w:val="00B51253"/>
    <w:rsid w:val="00B525CC"/>
    <w:rsid w:val="00D404F2"/>
    <w:rsid w:val="00E474CF"/>
    <w:rsid w:val="00E607E6"/>
    <w:rsid w:val="00F10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
    <w:name w:val="Title"/>
    <w:basedOn w:val="Normale"/>
    <w:next w:val="Normale"/>
    <w:link w:val="TitoloCarattere"/>
    <w:qFormat/>
    <w:rsid w:val="00003876"/>
    <w:pPr>
      <w:tabs>
        <w:tab w:val="clear" w:pos="284"/>
      </w:tabs>
      <w:suppressAutoHyphens/>
      <w:spacing w:line="240" w:lineRule="auto"/>
      <w:ind w:left="567" w:right="566"/>
      <w:jc w:val="center"/>
    </w:pPr>
    <w:rPr>
      <w:rFonts w:ascii="Arial" w:hAnsi="Arial"/>
      <w:sz w:val="24"/>
      <w:szCs w:val="20"/>
      <w:lang w:eastAsia="ar-SA"/>
    </w:rPr>
  </w:style>
  <w:style w:type="character" w:customStyle="1" w:styleId="TitoloCarattere">
    <w:name w:val="Titolo Carattere"/>
    <w:basedOn w:val="Carpredefinitoparagrafo"/>
    <w:link w:val="Titolo"/>
    <w:rsid w:val="00003876"/>
    <w:rPr>
      <w:rFonts w:ascii="Arial" w:hAnsi="Arial"/>
      <w:sz w:val="24"/>
      <w:lang w:eastAsia="ar-SA"/>
    </w:rPr>
  </w:style>
  <w:style w:type="paragraph" w:styleId="Testonotaapidipagina">
    <w:name w:val="footnote text"/>
    <w:basedOn w:val="Normale"/>
    <w:link w:val="TestonotaapidipaginaCarattere"/>
    <w:rsid w:val="00E474CF"/>
    <w:pPr>
      <w:spacing w:line="240" w:lineRule="auto"/>
    </w:pPr>
    <w:rPr>
      <w:szCs w:val="20"/>
    </w:rPr>
  </w:style>
  <w:style w:type="character" w:customStyle="1" w:styleId="TestonotaapidipaginaCarattere">
    <w:name w:val="Testo nota a piè di pagina Carattere"/>
    <w:basedOn w:val="Carpredefinitoparagrafo"/>
    <w:link w:val="Testonotaapidipagina"/>
    <w:rsid w:val="00E474CF"/>
  </w:style>
  <w:style w:type="character" w:styleId="Rimandonotaapidipagina">
    <w:name w:val="footnote reference"/>
    <w:basedOn w:val="Carpredefinitoparagrafo"/>
    <w:rsid w:val="00E474CF"/>
    <w:rPr>
      <w:vertAlign w:val="superscript"/>
    </w:rPr>
  </w:style>
  <w:style w:type="character" w:styleId="Collegamentoipertestuale">
    <w:name w:val="Hyperlink"/>
    <w:basedOn w:val="Carpredefinitoparagrafo"/>
    <w:rsid w:val="00E474C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
    <w:name w:val="Title"/>
    <w:basedOn w:val="Normale"/>
    <w:next w:val="Normale"/>
    <w:link w:val="TitoloCarattere"/>
    <w:qFormat/>
    <w:rsid w:val="00003876"/>
    <w:pPr>
      <w:tabs>
        <w:tab w:val="clear" w:pos="284"/>
      </w:tabs>
      <w:suppressAutoHyphens/>
      <w:spacing w:line="240" w:lineRule="auto"/>
      <w:ind w:left="567" w:right="566"/>
      <w:jc w:val="center"/>
    </w:pPr>
    <w:rPr>
      <w:rFonts w:ascii="Arial" w:hAnsi="Arial"/>
      <w:sz w:val="24"/>
      <w:szCs w:val="20"/>
      <w:lang w:eastAsia="ar-SA"/>
    </w:rPr>
  </w:style>
  <w:style w:type="character" w:customStyle="1" w:styleId="TitoloCarattere">
    <w:name w:val="Titolo Carattere"/>
    <w:basedOn w:val="Carpredefinitoparagrafo"/>
    <w:link w:val="Titolo"/>
    <w:rsid w:val="00003876"/>
    <w:rPr>
      <w:rFonts w:ascii="Arial" w:hAnsi="Arial"/>
      <w:sz w:val="24"/>
      <w:lang w:eastAsia="ar-SA"/>
    </w:rPr>
  </w:style>
  <w:style w:type="paragraph" w:styleId="Testonotaapidipagina">
    <w:name w:val="footnote text"/>
    <w:basedOn w:val="Normale"/>
    <w:link w:val="TestonotaapidipaginaCarattere"/>
    <w:rsid w:val="00E474CF"/>
    <w:pPr>
      <w:spacing w:line="240" w:lineRule="auto"/>
    </w:pPr>
    <w:rPr>
      <w:szCs w:val="20"/>
    </w:rPr>
  </w:style>
  <w:style w:type="character" w:customStyle="1" w:styleId="TestonotaapidipaginaCarattere">
    <w:name w:val="Testo nota a piè di pagina Carattere"/>
    <w:basedOn w:val="Carpredefinitoparagrafo"/>
    <w:link w:val="Testonotaapidipagina"/>
    <w:rsid w:val="00E474CF"/>
  </w:style>
  <w:style w:type="character" w:styleId="Rimandonotaapidipagina">
    <w:name w:val="footnote reference"/>
    <w:basedOn w:val="Carpredefinitoparagrafo"/>
    <w:rsid w:val="00E474CF"/>
    <w:rPr>
      <w:vertAlign w:val="superscript"/>
    </w:rPr>
  </w:style>
  <w:style w:type="character" w:styleId="Collegamentoipertestuale">
    <w:name w:val="Hyperlink"/>
    <w:basedOn w:val="Carpredefinitoparagrafo"/>
    <w:rsid w:val="00E474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97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uerrieri-antonio/apple-come-esperienza-religiosa-9788857517933-206294.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silvano-petrosino/il-desiderio-non-siamo-figli-delle-stelle-9788834339190-674310.html" TargetMode="External"/><Relationship Id="rId5" Type="http://schemas.openxmlformats.org/officeDocument/2006/relationships/webSettings" Target="webSettings.xml"/><Relationship Id="rId10" Type="http://schemas.openxmlformats.org/officeDocument/2006/relationships/hyperlink" Target="https://librerie.unicatt.it/scheda-libro/silvano-petrosino/emmanuel-levinas-le-due-sapienze-9788807227080-245970.html" TargetMode="External"/><Relationship Id="rId4" Type="http://schemas.openxmlformats.org/officeDocument/2006/relationships/settings" Target="settings.xml"/><Relationship Id="rId9" Type="http://schemas.openxmlformats.org/officeDocument/2006/relationships/hyperlink" Target="https://librerie.unicatt.it/scheda-libro/silvano-petrosino/lidolo-teoria-di-una-tentazione-dalla-bibbia-a-lacan-9788857526379-22435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C7AEB-CAC9-4B9B-BB61-44C0667E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22</TotalTime>
  <Pages>2</Pages>
  <Words>492</Words>
  <Characters>3590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8</cp:revision>
  <cp:lastPrinted>2003-03-27T10:42:00Z</cp:lastPrinted>
  <dcterms:created xsi:type="dcterms:W3CDTF">2019-05-20T14:44:00Z</dcterms:created>
  <dcterms:modified xsi:type="dcterms:W3CDTF">2021-07-20T09:18:00Z</dcterms:modified>
</cp:coreProperties>
</file>