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F530" w14:textId="77777777" w:rsidR="00074A0B" w:rsidRDefault="00074A0B" w:rsidP="00074A0B">
      <w:pPr>
        <w:pStyle w:val="Titolo1"/>
      </w:pPr>
      <w:r>
        <w:t>Antropologia e cultura anglo-americana</w:t>
      </w:r>
    </w:p>
    <w:p w14:paraId="602501C9" w14:textId="77777777" w:rsidR="00074A0B" w:rsidRDefault="00074A0B" w:rsidP="00074A0B">
      <w:pPr>
        <w:pStyle w:val="Titolo2"/>
      </w:pPr>
      <w:r>
        <w:t>Prof. Francesco  Rognoni</w:t>
      </w:r>
    </w:p>
    <w:p w14:paraId="06C26393" w14:textId="77777777" w:rsidR="00074A0B" w:rsidRDefault="00074A0B" w:rsidP="00074A0B">
      <w:pPr>
        <w:spacing w:before="240" w:after="120" w:line="240" w:lineRule="exact"/>
        <w:rPr>
          <w:b/>
          <w:i/>
          <w:sz w:val="18"/>
        </w:rPr>
      </w:pPr>
      <w:r w:rsidRPr="000024B9">
        <w:rPr>
          <w:sz w:val="18"/>
        </w:rPr>
        <w:t xml:space="preserve">[Il programma è mutuato dal Corso di Laurea in </w:t>
      </w:r>
      <w:r>
        <w:rPr>
          <w:sz w:val="18"/>
        </w:rPr>
        <w:t xml:space="preserve">Lingue, letterature e culture straniere </w:t>
      </w:r>
      <w:r w:rsidRPr="000024B9">
        <w:rPr>
          <w:sz w:val="18"/>
        </w:rPr>
        <w:t>con la denominazione</w:t>
      </w:r>
      <w:r>
        <w:rPr>
          <w:sz w:val="18"/>
        </w:rPr>
        <w:t>:</w:t>
      </w:r>
      <w:r w:rsidRPr="000024B9">
        <w:rPr>
          <w:sz w:val="18"/>
        </w:rPr>
        <w:t xml:space="preserve"> </w:t>
      </w:r>
      <w:r>
        <w:rPr>
          <w:i/>
          <w:sz w:val="18"/>
        </w:rPr>
        <w:t>Letteratura anglo-americana</w:t>
      </w:r>
      <w:r w:rsidRPr="000024B9">
        <w:rPr>
          <w:sz w:val="18"/>
        </w:rPr>
        <w:t>]</w:t>
      </w:r>
    </w:p>
    <w:p w14:paraId="6A72B2ED" w14:textId="77777777" w:rsidR="00074A0B" w:rsidRDefault="00074A0B" w:rsidP="00074A0B">
      <w:pPr>
        <w:spacing w:before="240" w:after="120" w:line="240" w:lineRule="exact"/>
        <w:rPr>
          <w:b/>
          <w:sz w:val="18"/>
        </w:rPr>
      </w:pPr>
      <w:r>
        <w:rPr>
          <w:b/>
          <w:i/>
          <w:sz w:val="18"/>
        </w:rPr>
        <w:t>OBIETTIVO DEL CORSO E RISULTATI DI APPRENDIMENTO ATTESI</w:t>
      </w:r>
    </w:p>
    <w:p w14:paraId="4D471499" w14:textId="2940A110" w:rsidR="00074A0B" w:rsidRDefault="00074A0B" w:rsidP="00074A0B">
      <w:pPr>
        <w:rPr>
          <w:szCs w:val="20"/>
        </w:rPr>
      </w:pPr>
      <w:r>
        <w:t xml:space="preserve">Il corso si propone di approfondire, attraverso la rassegna di opere aventi carattere esemplare, temi fondamentali della storia letteraria e culturale degli Stati Uniti. Saranno fornite anche considerazioni sulla traduzione letteraria e la traduzione intersemiotica (ovvero, quella dell’opera letteraria in opera cinematografica). Al termine del corso, lo studente avrà a disposizione un panorama necessariamente incompleto, ma altamente rappresentativo, della cultura nordamericana del 900. </w:t>
      </w:r>
    </w:p>
    <w:p w14:paraId="3AEE1E01" w14:textId="77777777" w:rsidR="00074A0B" w:rsidRDefault="00074A0B" w:rsidP="00074A0B">
      <w:pPr>
        <w:spacing w:before="240" w:after="120" w:line="240" w:lineRule="exact"/>
        <w:rPr>
          <w:b/>
          <w:sz w:val="18"/>
        </w:rPr>
      </w:pPr>
      <w:r>
        <w:rPr>
          <w:b/>
          <w:i/>
          <w:sz w:val="18"/>
        </w:rPr>
        <w:t>PROGRAMMA DEL CORSO</w:t>
      </w:r>
    </w:p>
    <w:p w14:paraId="5C01DFD5" w14:textId="77777777" w:rsidR="00074A0B" w:rsidRDefault="00074A0B" w:rsidP="00074A0B">
      <w:pPr>
        <w:rPr>
          <w:szCs w:val="20"/>
        </w:rPr>
      </w:pPr>
      <w:r>
        <w:t xml:space="preserve">Il corso è articolato in due moduli, entrambi insegnati nel primo semestre. </w:t>
      </w:r>
    </w:p>
    <w:p w14:paraId="4EF4D58E" w14:textId="1F2557AE" w:rsidR="00074A0B" w:rsidRPr="00FA539A" w:rsidRDefault="00074A0B" w:rsidP="00FA539A">
      <w:pPr>
        <w:spacing w:before="120"/>
        <w:rPr>
          <w:szCs w:val="20"/>
          <w:lang w:val="en-US"/>
        </w:rPr>
      </w:pPr>
      <w:r>
        <w:rPr>
          <w:smallCaps/>
        </w:rPr>
        <w:tab/>
      </w:r>
      <w:r w:rsidRPr="00FA539A">
        <w:rPr>
          <w:smallCaps/>
          <w:sz w:val="18"/>
          <w:lang w:val="en-US"/>
        </w:rPr>
        <w:t>I Modulo</w:t>
      </w:r>
      <w:r w:rsidRPr="00FA539A">
        <w:rPr>
          <w:smallCaps/>
          <w:lang w:val="en-US"/>
        </w:rPr>
        <w:t xml:space="preserve">: </w:t>
      </w:r>
      <w:r w:rsidRPr="00FA539A">
        <w:rPr>
          <w:i/>
          <w:iCs/>
          <w:lang w:val="en-US"/>
        </w:rPr>
        <w:t xml:space="preserve">Hollywood and hard-boiled </w:t>
      </w:r>
      <w:r w:rsidR="00CC6BFA" w:rsidRPr="00FA539A">
        <w:rPr>
          <w:i/>
          <w:iCs/>
          <w:lang w:val="en-US"/>
        </w:rPr>
        <w:t xml:space="preserve">short-stories, </w:t>
      </w:r>
      <w:r w:rsidRPr="00FA539A">
        <w:rPr>
          <w:i/>
          <w:iCs/>
          <w:lang w:val="en-US"/>
        </w:rPr>
        <w:t xml:space="preserve">novels and films </w:t>
      </w:r>
    </w:p>
    <w:p w14:paraId="21B186FF" w14:textId="7BB7AA65" w:rsidR="00074A0B" w:rsidRDefault="00074A0B" w:rsidP="00074A0B">
      <w:pPr>
        <w:rPr>
          <w:szCs w:val="20"/>
        </w:rPr>
      </w:pPr>
      <w:r>
        <w:t xml:space="preserve">Le lezioni si incentreranno sull’analisi di </w:t>
      </w:r>
      <w:r w:rsidR="00CC6BFA">
        <w:t xml:space="preserve">alcuni </w:t>
      </w:r>
      <w:r>
        <w:t xml:space="preserve">brevi romanzi degli anni tra le due guerre: </w:t>
      </w:r>
      <w:r w:rsidR="00CC6BFA">
        <w:rPr>
          <w:i/>
          <w:iCs/>
        </w:rPr>
        <w:t xml:space="preserve">The Killers </w:t>
      </w:r>
      <w:r w:rsidR="00CC6BFA">
        <w:t xml:space="preserve">di </w:t>
      </w:r>
      <w:r w:rsidR="00EA3D7A">
        <w:t xml:space="preserve">E. </w:t>
      </w:r>
      <w:r w:rsidR="00CC6BFA">
        <w:t>Hemingway</w:t>
      </w:r>
      <w:r w:rsidR="00CC6BFA">
        <w:rPr>
          <w:i/>
          <w:iCs/>
        </w:rPr>
        <w:t xml:space="preserve">, </w:t>
      </w:r>
      <w:r>
        <w:rPr>
          <w:i/>
          <w:iCs/>
        </w:rPr>
        <w:t xml:space="preserve">The Maltese Falcon </w:t>
      </w:r>
      <w:r>
        <w:t xml:space="preserve">di D. </w:t>
      </w:r>
      <w:r w:rsidRPr="00074A0B">
        <w:t>Hammet</w:t>
      </w:r>
      <w:r>
        <w:t xml:space="preserve">t, </w:t>
      </w:r>
      <w:proofErr w:type="spellStart"/>
      <w:r>
        <w:rPr>
          <w:i/>
          <w:iCs/>
        </w:rPr>
        <w:t>They</w:t>
      </w:r>
      <w:proofErr w:type="spellEnd"/>
      <w:r>
        <w:rPr>
          <w:i/>
          <w:iCs/>
        </w:rPr>
        <w:t xml:space="preserve"> </w:t>
      </w:r>
      <w:proofErr w:type="spellStart"/>
      <w:r>
        <w:rPr>
          <w:i/>
          <w:iCs/>
        </w:rPr>
        <w:t>Shoot</w:t>
      </w:r>
      <w:proofErr w:type="spellEnd"/>
      <w:r>
        <w:rPr>
          <w:i/>
          <w:iCs/>
        </w:rPr>
        <w:t xml:space="preserve"> </w:t>
      </w:r>
      <w:proofErr w:type="spellStart"/>
      <w:r>
        <w:rPr>
          <w:i/>
          <w:iCs/>
        </w:rPr>
        <w:t>Horses</w:t>
      </w:r>
      <w:proofErr w:type="spellEnd"/>
      <w:r>
        <w:rPr>
          <w:i/>
          <w:iCs/>
        </w:rPr>
        <w:t xml:space="preserve">, </w:t>
      </w:r>
      <w:proofErr w:type="spellStart"/>
      <w:r>
        <w:rPr>
          <w:i/>
          <w:iCs/>
        </w:rPr>
        <w:t>Don’t</w:t>
      </w:r>
      <w:proofErr w:type="spellEnd"/>
      <w:r>
        <w:rPr>
          <w:i/>
          <w:iCs/>
        </w:rPr>
        <w:t xml:space="preserve"> </w:t>
      </w:r>
      <w:proofErr w:type="spellStart"/>
      <w:r>
        <w:rPr>
          <w:i/>
          <w:iCs/>
        </w:rPr>
        <w:t>They</w:t>
      </w:r>
      <w:proofErr w:type="spellEnd"/>
      <w:r>
        <w:rPr>
          <w:i/>
          <w:iCs/>
        </w:rPr>
        <w:t xml:space="preserve">? </w:t>
      </w:r>
      <w:r w:rsidRPr="00074A0B">
        <w:t>di</w:t>
      </w:r>
      <w:r>
        <w:t xml:space="preserve"> H. McCoy, </w:t>
      </w:r>
      <w:r>
        <w:rPr>
          <w:i/>
          <w:iCs/>
        </w:rPr>
        <w:t xml:space="preserve">The </w:t>
      </w:r>
      <w:proofErr w:type="spellStart"/>
      <w:r>
        <w:rPr>
          <w:i/>
          <w:iCs/>
        </w:rPr>
        <w:t>Day</w:t>
      </w:r>
      <w:proofErr w:type="spellEnd"/>
      <w:r>
        <w:rPr>
          <w:i/>
          <w:iCs/>
        </w:rPr>
        <w:t xml:space="preserve"> of the </w:t>
      </w:r>
      <w:proofErr w:type="spellStart"/>
      <w:r>
        <w:rPr>
          <w:i/>
          <w:iCs/>
        </w:rPr>
        <w:t>Locust</w:t>
      </w:r>
      <w:proofErr w:type="spellEnd"/>
      <w:r>
        <w:rPr>
          <w:i/>
          <w:iCs/>
        </w:rPr>
        <w:t xml:space="preserve"> </w:t>
      </w:r>
      <w:r>
        <w:t xml:space="preserve">di N. West </w:t>
      </w:r>
      <w:r w:rsidR="00EA3D7A">
        <w:t xml:space="preserve">(considerato anche come precursore del ‘grottesco’ anni 60-70) </w:t>
      </w:r>
      <w:r>
        <w:t xml:space="preserve">e </w:t>
      </w:r>
      <w:r>
        <w:rPr>
          <w:i/>
          <w:iCs/>
        </w:rPr>
        <w:t xml:space="preserve">The Big </w:t>
      </w:r>
      <w:proofErr w:type="spellStart"/>
      <w:r>
        <w:rPr>
          <w:i/>
          <w:iCs/>
        </w:rPr>
        <w:t>Sleep</w:t>
      </w:r>
      <w:proofErr w:type="spellEnd"/>
      <w:r>
        <w:rPr>
          <w:i/>
          <w:iCs/>
        </w:rPr>
        <w:t xml:space="preserve"> </w:t>
      </w:r>
      <w:r>
        <w:t xml:space="preserve">di R. Chandler e sulle </w:t>
      </w:r>
      <w:r w:rsidRPr="00074A0B">
        <w:t>rispettive</w:t>
      </w:r>
      <w:r>
        <w:t xml:space="preserve"> </w:t>
      </w:r>
      <w:r w:rsidRPr="00074A0B">
        <w:t>versioni ci</w:t>
      </w:r>
      <w:r>
        <w:t xml:space="preserve">nematografiche. </w:t>
      </w:r>
    </w:p>
    <w:p w14:paraId="3294B962" w14:textId="0F542CB5" w:rsidR="00074A0B" w:rsidRPr="003A63D6" w:rsidRDefault="00074A0B" w:rsidP="00074A0B">
      <w:pPr>
        <w:spacing w:before="120"/>
        <w:rPr>
          <w:szCs w:val="20"/>
          <w:lang w:val="en-US"/>
        </w:rPr>
      </w:pPr>
      <w:r>
        <w:rPr>
          <w:smallCaps/>
        </w:rPr>
        <w:tab/>
      </w:r>
      <w:r w:rsidRPr="00FA539A">
        <w:rPr>
          <w:smallCaps/>
          <w:sz w:val="18"/>
          <w:lang w:val="en-US"/>
        </w:rPr>
        <w:t>II Modulo</w:t>
      </w:r>
      <w:r w:rsidRPr="003A63D6">
        <w:rPr>
          <w:smallCaps/>
          <w:lang w:val="en-US"/>
        </w:rPr>
        <w:t xml:space="preserve">: </w:t>
      </w:r>
      <w:r w:rsidR="00EA3D7A" w:rsidRPr="003A63D6">
        <w:rPr>
          <w:i/>
          <w:iCs/>
          <w:lang w:val="en-US"/>
        </w:rPr>
        <w:t>1950-90 novels, short stories and films.</w:t>
      </w:r>
    </w:p>
    <w:p w14:paraId="6A686579" w14:textId="2EAA9116" w:rsidR="00CC6BFA" w:rsidRPr="00FA539A" w:rsidRDefault="00CC6BFA" w:rsidP="00074A0B">
      <w:pPr>
        <w:rPr>
          <w:szCs w:val="20"/>
        </w:rPr>
      </w:pPr>
      <w:r>
        <w:t xml:space="preserve">Le lezioni si incentreranno sull’analisi di alcuni brevi romanzi degli anni tra le due guerre: </w:t>
      </w:r>
      <w:r>
        <w:rPr>
          <w:i/>
          <w:iCs/>
        </w:rPr>
        <w:t>Three-</w:t>
      </w:r>
      <w:proofErr w:type="spellStart"/>
      <w:r>
        <w:rPr>
          <w:i/>
          <w:iCs/>
        </w:rPr>
        <w:t>Ten</w:t>
      </w:r>
      <w:proofErr w:type="spellEnd"/>
      <w:r>
        <w:rPr>
          <w:i/>
          <w:iCs/>
        </w:rPr>
        <w:t xml:space="preserve"> to Yuma </w:t>
      </w:r>
      <w:r>
        <w:t xml:space="preserve">e </w:t>
      </w:r>
      <w:r>
        <w:rPr>
          <w:i/>
          <w:iCs/>
        </w:rPr>
        <w:t xml:space="preserve">Rum-Punch </w:t>
      </w:r>
      <w:r>
        <w:t xml:space="preserve">di E. Leonard, </w:t>
      </w:r>
      <w:r>
        <w:rPr>
          <w:i/>
          <w:iCs/>
        </w:rPr>
        <w:t xml:space="preserve">The </w:t>
      </w:r>
      <w:proofErr w:type="spellStart"/>
      <w:r>
        <w:rPr>
          <w:i/>
          <w:iCs/>
        </w:rPr>
        <w:t>Swimmer</w:t>
      </w:r>
      <w:proofErr w:type="spellEnd"/>
      <w:r>
        <w:rPr>
          <w:i/>
          <w:iCs/>
        </w:rPr>
        <w:t xml:space="preserve"> </w:t>
      </w:r>
      <w:r>
        <w:t xml:space="preserve">di John </w:t>
      </w:r>
      <w:proofErr w:type="spellStart"/>
      <w:r>
        <w:t>Cheever</w:t>
      </w:r>
      <w:proofErr w:type="spellEnd"/>
      <w:r>
        <w:t xml:space="preserve">, </w:t>
      </w:r>
      <w:proofErr w:type="spellStart"/>
      <w:r w:rsidRPr="00CC6BFA">
        <w:rPr>
          <w:i/>
          <w:iCs/>
        </w:rPr>
        <w:t>S</w:t>
      </w:r>
      <w:r>
        <w:rPr>
          <w:i/>
          <w:iCs/>
        </w:rPr>
        <w:t>l</w:t>
      </w:r>
      <w:r w:rsidRPr="00CC6BFA">
        <w:rPr>
          <w:i/>
          <w:iCs/>
        </w:rPr>
        <w:t>aughterhouse</w:t>
      </w:r>
      <w:proofErr w:type="spellEnd"/>
      <w:r w:rsidRPr="00CC6BFA">
        <w:rPr>
          <w:i/>
          <w:iCs/>
        </w:rPr>
        <w:t xml:space="preserve"> 5</w:t>
      </w:r>
      <w:r>
        <w:t xml:space="preserve"> di K. </w:t>
      </w:r>
      <w:proofErr w:type="spellStart"/>
      <w:r>
        <w:t>Vonnegut</w:t>
      </w:r>
      <w:proofErr w:type="spellEnd"/>
      <w:r>
        <w:t xml:space="preserve"> e </w:t>
      </w:r>
      <w:proofErr w:type="spellStart"/>
      <w:r>
        <w:rPr>
          <w:i/>
          <w:iCs/>
        </w:rPr>
        <w:t>Being</w:t>
      </w:r>
      <w:proofErr w:type="spellEnd"/>
      <w:r>
        <w:rPr>
          <w:i/>
          <w:iCs/>
        </w:rPr>
        <w:t xml:space="preserve"> </w:t>
      </w:r>
      <w:proofErr w:type="spellStart"/>
      <w:r>
        <w:rPr>
          <w:i/>
          <w:iCs/>
        </w:rPr>
        <w:t>There</w:t>
      </w:r>
      <w:proofErr w:type="spellEnd"/>
      <w:r>
        <w:rPr>
          <w:i/>
          <w:iCs/>
        </w:rPr>
        <w:t xml:space="preserve"> </w:t>
      </w:r>
      <w:r>
        <w:t xml:space="preserve">di J. </w:t>
      </w:r>
      <w:proofErr w:type="spellStart"/>
      <w:r>
        <w:t>Kosinski</w:t>
      </w:r>
      <w:proofErr w:type="spellEnd"/>
      <w:r>
        <w:t xml:space="preserve"> e sulle </w:t>
      </w:r>
      <w:r w:rsidRPr="00074A0B">
        <w:t>rispettive</w:t>
      </w:r>
      <w:r>
        <w:t xml:space="preserve"> </w:t>
      </w:r>
      <w:r w:rsidRPr="00074A0B">
        <w:t>versioni ci</w:t>
      </w:r>
      <w:r>
        <w:t xml:space="preserve">nematografiche. Sarà oltre studiato il capolavoro di R. Polanski, </w:t>
      </w:r>
      <w:r>
        <w:rPr>
          <w:i/>
          <w:iCs/>
        </w:rPr>
        <w:t>Chinatown</w:t>
      </w:r>
      <w:r>
        <w:t>, anche come ripresa e rielaborazione degli stilemi narrativi propri</w:t>
      </w:r>
      <w:r w:rsidR="00FA539A">
        <w:t xml:space="preserve"> del noir anni 30-40.</w:t>
      </w:r>
    </w:p>
    <w:p w14:paraId="11900C1A" w14:textId="77777777" w:rsidR="00074A0B" w:rsidRPr="005204A9" w:rsidRDefault="00074A0B" w:rsidP="00074A0B">
      <w:pPr>
        <w:keepNext/>
        <w:spacing w:before="240" w:after="120" w:line="240" w:lineRule="exact"/>
        <w:rPr>
          <w:b/>
          <w:sz w:val="18"/>
          <w:lang w:val="en-US"/>
        </w:rPr>
      </w:pPr>
      <w:r w:rsidRPr="005204A9">
        <w:rPr>
          <w:b/>
          <w:i/>
          <w:sz w:val="18"/>
          <w:lang w:val="en-US"/>
        </w:rPr>
        <w:t>BIBLIOGRAFIA</w:t>
      </w:r>
      <w:r>
        <w:rPr>
          <w:rStyle w:val="Rimandonotaapidipagina"/>
          <w:rFonts w:eastAsiaTheme="majorEastAsia"/>
          <w:b/>
          <w:i/>
          <w:sz w:val="18"/>
          <w:lang w:val="en-US"/>
        </w:rPr>
        <w:footnoteReference w:id="1"/>
      </w:r>
    </w:p>
    <w:p w14:paraId="0142D38C" w14:textId="77777777" w:rsidR="00EA3D7A" w:rsidRPr="00FA539A" w:rsidRDefault="00EA3D7A" w:rsidP="00074A0B">
      <w:pPr>
        <w:pStyle w:val="Testo1"/>
        <w:spacing w:before="0"/>
        <w:rPr>
          <w:lang w:val="en-US"/>
        </w:rPr>
      </w:pPr>
      <w:r w:rsidRPr="00FA539A">
        <w:rPr>
          <w:smallCaps/>
          <w:sz w:val="16"/>
          <w:lang w:val="en-US"/>
        </w:rPr>
        <w:t>E. Hemingway</w:t>
      </w:r>
      <w:r w:rsidRPr="00FA539A">
        <w:rPr>
          <w:lang w:val="en-US"/>
        </w:rPr>
        <w:t>,</w:t>
      </w:r>
      <w:r w:rsidRPr="00FA539A">
        <w:rPr>
          <w:i/>
          <w:iCs/>
          <w:lang w:val="en-US"/>
        </w:rPr>
        <w:t xml:space="preserve"> The Killers </w:t>
      </w:r>
      <w:r w:rsidRPr="00FA539A">
        <w:rPr>
          <w:lang w:val="en-US"/>
        </w:rPr>
        <w:t xml:space="preserve">(short story, online) </w:t>
      </w:r>
    </w:p>
    <w:p w14:paraId="2EF463B4" w14:textId="05F57AC6" w:rsidR="00EA3D7A" w:rsidRPr="00F707EA" w:rsidRDefault="00EA3D7A" w:rsidP="00F707EA">
      <w:pPr>
        <w:spacing w:line="240" w:lineRule="auto"/>
        <w:rPr>
          <w:i/>
          <w:color w:val="0070C0"/>
          <w:sz w:val="16"/>
          <w:szCs w:val="16"/>
        </w:rPr>
      </w:pPr>
      <w:r w:rsidRPr="00F707EA">
        <w:rPr>
          <w:smallCaps/>
          <w:sz w:val="16"/>
        </w:rPr>
        <w:t>D. Hammett</w:t>
      </w:r>
      <w:r w:rsidRPr="00F707EA">
        <w:t>,</w:t>
      </w:r>
      <w:r w:rsidRPr="00F707EA">
        <w:rPr>
          <w:i/>
          <w:iCs/>
        </w:rPr>
        <w:t xml:space="preserve"> The Maltese </w:t>
      </w:r>
      <w:proofErr w:type="spellStart"/>
      <w:r w:rsidRPr="00F707EA">
        <w:rPr>
          <w:i/>
          <w:iCs/>
        </w:rPr>
        <w:t>Falcon</w:t>
      </w:r>
      <w:proofErr w:type="spellEnd"/>
      <w:r w:rsidRPr="00F707EA">
        <w:rPr>
          <w:i/>
          <w:iCs/>
        </w:rPr>
        <w:t xml:space="preserve"> </w:t>
      </w:r>
      <w:r w:rsidRPr="00F707EA">
        <w:t>(</w:t>
      </w:r>
      <w:proofErr w:type="spellStart"/>
      <w:r w:rsidRPr="00F707EA">
        <w:t>any</w:t>
      </w:r>
      <w:proofErr w:type="spellEnd"/>
      <w:r w:rsidRPr="00F707EA">
        <w:t xml:space="preserve"> </w:t>
      </w:r>
      <w:proofErr w:type="spellStart"/>
      <w:r w:rsidRPr="00F707EA">
        <w:t>edition</w:t>
      </w:r>
      <w:proofErr w:type="spellEnd"/>
      <w:r w:rsidRPr="00F707EA">
        <w:t xml:space="preserve">) </w:t>
      </w:r>
      <w:hyperlink r:id="rId7" w:history="1">
        <w:r w:rsidR="00F707EA" w:rsidRPr="00F707EA">
          <w:rPr>
            <w:rStyle w:val="Collegamentoipertestuale"/>
            <w:i/>
            <w:sz w:val="16"/>
            <w:szCs w:val="16"/>
          </w:rPr>
          <w:t>Acquista da VP</w:t>
        </w:r>
      </w:hyperlink>
    </w:p>
    <w:p w14:paraId="61429F2F" w14:textId="77777777" w:rsidR="00EA3D7A" w:rsidRPr="00FA539A" w:rsidRDefault="00EA3D7A" w:rsidP="00EA3D7A">
      <w:pPr>
        <w:pStyle w:val="Testo1"/>
        <w:spacing w:before="0"/>
        <w:ind w:left="0" w:firstLine="0"/>
        <w:rPr>
          <w:lang w:val="en-US"/>
        </w:rPr>
      </w:pPr>
      <w:r w:rsidRPr="00FA539A">
        <w:rPr>
          <w:smallCaps/>
          <w:sz w:val="16"/>
          <w:lang w:val="en-US"/>
        </w:rPr>
        <w:t>H. McCoy</w:t>
      </w:r>
      <w:r w:rsidRPr="00FA539A">
        <w:rPr>
          <w:lang w:val="en-US"/>
        </w:rPr>
        <w:t xml:space="preserve">, </w:t>
      </w:r>
      <w:r w:rsidRPr="00FA539A">
        <w:rPr>
          <w:i/>
          <w:iCs/>
          <w:lang w:val="en-US"/>
        </w:rPr>
        <w:t xml:space="preserve">They Shoot Horses, Don’t They? </w:t>
      </w:r>
      <w:r w:rsidRPr="00FA539A">
        <w:rPr>
          <w:lang w:val="en-US"/>
        </w:rPr>
        <w:t xml:space="preserve">(any edition) </w:t>
      </w:r>
    </w:p>
    <w:p w14:paraId="7A00FF69" w14:textId="77777777" w:rsidR="00EA3D7A" w:rsidRPr="00FA539A" w:rsidRDefault="00EA3D7A" w:rsidP="00EA3D7A">
      <w:pPr>
        <w:pStyle w:val="Testo1"/>
        <w:spacing w:before="0"/>
        <w:ind w:left="0" w:firstLine="0"/>
        <w:rPr>
          <w:lang w:val="en-US"/>
        </w:rPr>
      </w:pPr>
      <w:r w:rsidRPr="00FA539A">
        <w:rPr>
          <w:smallCaps/>
          <w:sz w:val="16"/>
          <w:lang w:val="en-US"/>
        </w:rPr>
        <w:t>N. West</w:t>
      </w:r>
      <w:r w:rsidRPr="00FA539A">
        <w:rPr>
          <w:lang w:val="en-US"/>
        </w:rPr>
        <w:t xml:space="preserve">, </w:t>
      </w:r>
      <w:r w:rsidRPr="00FA539A">
        <w:rPr>
          <w:i/>
          <w:iCs/>
          <w:lang w:val="en-US"/>
        </w:rPr>
        <w:t xml:space="preserve">The Day of the Locust </w:t>
      </w:r>
      <w:r w:rsidRPr="00FA539A">
        <w:rPr>
          <w:lang w:val="en-US"/>
        </w:rPr>
        <w:t xml:space="preserve">(any edition) </w:t>
      </w:r>
    </w:p>
    <w:p w14:paraId="250BBDDF" w14:textId="39672522" w:rsidR="00EA3D7A" w:rsidRPr="00F707EA" w:rsidRDefault="00EA3D7A" w:rsidP="00F707EA">
      <w:pPr>
        <w:spacing w:line="240" w:lineRule="auto"/>
        <w:rPr>
          <w:i/>
          <w:color w:val="0070C0"/>
          <w:sz w:val="16"/>
          <w:szCs w:val="16"/>
          <w:lang w:val="en-US"/>
        </w:rPr>
      </w:pPr>
      <w:r w:rsidRPr="00FA539A">
        <w:rPr>
          <w:smallCaps/>
          <w:sz w:val="16"/>
          <w:lang w:val="en-US"/>
        </w:rPr>
        <w:lastRenderedPageBreak/>
        <w:t>R. Chandler</w:t>
      </w:r>
      <w:r w:rsidRPr="00FA539A">
        <w:rPr>
          <w:lang w:val="en-US"/>
        </w:rPr>
        <w:t xml:space="preserve">, </w:t>
      </w:r>
      <w:r w:rsidRPr="00FA539A">
        <w:rPr>
          <w:i/>
          <w:iCs/>
          <w:lang w:val="en-US"/>
        </w:rPr>
        <w:t xml:space="preserve">The Big Sleep </w:t>
      </w:r>
      <w:r w:rsidRPr="00FA539A">
        <w:rPr>
          <w:lang w:val="en-US"/>
        </w:rPr>
        <w:t xml:space="preserve">(any edition) </w:t>
      </w:r>
      <w:r w:rsidR="00E91998">
        <w:fldChar w:fldCharType="begin"/>
      </w:r>
      <w:r w:rsidR="00E91998" w:rsidRPr="00E91998">
        <w:rPr>
          <w:lang w:val="en-US"/>
        </w:rPr>
        <w:instrText xml:space="preserve"> HYPERLINK "https://librerie.unicatt.it/scheda-libro/chandler-raymond/big-sleep-9780241956281-674675.html" </w:instrText>
      </w:r>
      <w:r w:rsidR="00E91998">
        <w:fldChar w:fldCharType="separate"/>
      </w:r>
      <w:proofErr w:type="spellStart"/>
      <w:r w:rsidR="00F707EA" w:rsidRPr="00F707EA">
        <w:rPr>
          <w:rStyle w:val="Collegamentoipertestuale"/>
          <w:i/>
          <w:sz w:val="16"/>
          <w:szCs w:val="16"/>
          <w:lang w:val="en-US"/>
        </w:rPr>
        <w:t>Acquista</w:t>
      </w:r>
      <w:proofErr w:type="spellEnd"/>
      <w:r w:rsidR="00F707EA" w:rsidRPr="00F707EA">
        <w:rPr>
          <w:rStyle w:val="Collegamentoipertestuale"/>
          <w:i/>
          <w:sz w:val="16"/>
          <w:szCs w:val="16"/>
          <w:lang w:val="en-US"/>
        </w:rPr>
        <w:t xml:space="preserve"> da VP</w:t>
      </w:r>
      <w:r w:rsidR="00E91998">
        <w:rPr>
          <w:rStyle w:val="Collegamentoipertestuale"/>
          <w:i/>
          <w:sz w:val="16"/>
          <w:szCs w:val="16"/>
          <w:lang w:val="en-US"/>
        </w:rPr>
        <w:fldChar w:fldCharType="end"/>
      </w:r>
    </w:p>
    <w:p w14:paraId="0BE53479" w14:textId="21F25EC5" w:rsidR="00EA3D7A" w:rsidRPr="00FA539A" w:rsidRDefault="00EA3D7A" w:rsidP="00074A0B">
      <w:pPr>
        <w:pStyle w:val="Testo1"/>
        <w:spacing w:before="0"/>
        <w:rPr>
          <w:lang w:val="en-US"/>
        </w:rPr>
      </w:pPr>
      <w:r w:rsidRPr="00FA539A">
        <w:rPr>
          <w:smallCaps/>
          <w:sz w:val="16"/>
          <w:lang w:val="en-US"/>
        </w:rPr>
        <w:t>E. Leonard</w:t>
      </w:r>
      <w:r w:rsidRPr="00FA539A">
        <w:rPr>
          <w:lang w:val="en-US"/>
        </w:rPr>
        <w:t xml:space="preserve">, </w:t>
      </w:r>
      <w:r w:rsidRPr="00FA539A">
        <w:rPr>
          <w:i/>
          <w:iCs/>
          <w:lang w:val="en-US"/>
        </w:rPr>
        <w:t xml:space="preserve">Three-Ten to Yuma </w:t>
      </w:r>
      <w:r w:rsidRPr="00FA539A">
        <w:rPr>
          <w:lang w:val="en-US"/>
        </w:rPr>
        <w:t xml:space="preserve">(short story, online) </w:t>
      </w:r>
    </w:p>
    <w:p w14:paraId="2EE167DB" w14:textId="3EBD37A9" w:rsidR="00EA3D7A" w:rsidRPr="00FA539A" w:rsidRDefault="00EA3D7A" w:rsidP="00074A0B">
      <w:pPr>
        <w:pStyle w:val="Testo1"/>
        <w:spacing w:before="0"/>
        <w:rPr>
          <w:i/>
          <w:iCs/>
          <w:lang w:val="en-US"/>
        </w:rPr>
      </w:pPr>
      <w:r w:rsidRPr="00FA539A">
        <w:rPr>
          <w:smallCaps/>
          <w:sz w:val="16"/>
          <w:lang w:val="en-US"/>
        </w:rPr>
        <w:t>J Cheever</w:t>
      </w:r>
      <w:r w:rsidRPr="00FA539A">
        <w:rPr>
          <w:lang w:val="en-US"/>
        </w:rPr>
        <w:t xml:space="preserve">, </w:t>
      </w:r>
      <w:r w:rsidRPr="00FA539A">
        <w:rPr>
          <w:i/>
          <w:iCs/>
          <w:lang w:val="en-US"/>
        </w:rPr>
        <w:t xml:space="preserve">The Swimmer </w:t>
      </w:r>
      <w:r w:rsidRPr="00FA539A">
        <w:rPr>
          <w:lang w:val="en-US"/>
        </w:rPr>
        <w:t>(short story, online)</w:t>
      </w:r>
    </w:p>
    <w:p w14:paraId="6C16DEDB" w14:textId="77777777" w:rsidR="00EA3D7A" w:rsidRPr="00FA539A" w:rsidRDefault="00EA3D7A" w:rsidP="00074A0B">
      <w:pPr>
        <w:pStyle w:val="Testo1"/>
        <w:spacing w:before="0"/>
        <w:rPr>
          <w:lang w:val="en-US"/>
        </w:rPr>
      </w:pPr>
      <w:r w:rsidRPr="00FA539A">
        <w:rPr>
          <w:smallCaps/>
          <w:sz w:val="16"/>
          <w:lang w:val="en-US"/>
        </w:rPr>
        <w:t>K. Vonnegut</w:t>
      </w:r>
      <w:r w:rsidRPr="00FA539A">
        <w:rPr>
          <w:lang w:val="en-US"/>
        </w:rPr>
        <w:t xml:space="preserve">, </w:t>
      </w:r>
      <w:r w:rsidRPr="00FA539A">
        <w:rPr>
          <w:i/>
          <w:iCs/>
          <w:lang w:val="en-US"/>
        </w:rPr>
        <w:t>Slaughterhouse 5</w:t>
      </w:r>
      <w:r w:rsidRPr="00FA539A">
        <w:rPr>
          <w:lang w:val="en-US"/>
        </w:rPr>
        <w:t xml:space="preserve"> (any edition) </w:t>
      </w:r>
    </w:p>
    <w:p w14:paraId="3848EB45" w14:textId="2339E9C6" w:rsidR="00EA3D7A" w:rsidRPr="00FA539A" w:rsidRDefault="00EA3D7A" w:rsidP="00074A0B">
      <w:pPr>
        <w:pStyle w:val="Testo1"/>
        <w:spacing w:before="0"/>
        <w:rPr>
          <w:lang w:val="en-US"/>
        </w:rPr>
      </w:pPr>
      <w:r w:rsidRPr="00FA539A">
        <w:rPr>
          <w:smallCaps/>
          <w:sz w:val="16"/>
          <w:lang w:val="en-US"/>
        </w:rPr>
        <w:t>J. Kosinski</w:t>
      </w:r>
      <w:r w:rsidRPr="00FA539A">
        <w:rPr>
          <w:lang w:val="en-US"/>
        </w:rPr>
        <w:t xml:space="preserve">, </w:t>
      </w:r>
      <w:r w:rsidRPr="00FA539A">
        <w:rPr>
          <w:i/>
          <w:iCs/>
          <w:lang w:val="en-US"/>
        </w:rPr>
        <w:t xml:space="preserve">Being There </w:t>
      </w:r>
      <w:r w:rsidRPr="00FA539A">
        <w:rPr>
          <w:lang w:val="en-US"/>
        </w:rPr>
        <w:t xml:space="preserve">(any edition) </w:t>
      </w:r>
    </w:p>
    <w:p w14:paraId="6031FE4D" w14:textId="77777777" w:rsidR="00EA3D7A" w:rsidRPr="00FA539A" w:rsidRDefault="00EA3D7A" w:rsidP="00EA3D7A">
      <w:pPr>
        <w:pStyle w:val="Testo1"/>
        <w:spacing w:before="0"/>
        <w:rPr>
          <w:lang w:val="en-US"/>
        </w:rPr>
      </w:pPr>
      <w:r w:rsidRPr="00FA539A">
        <w:rPr>
          <w:smallCaps/>
          <w:sz w:val="16"/>
          <w:lang w:val="en-US"/>
        </w:rPr>
        <w:t>E. Leonard</w:t>
      </w:r>
      <w:r w:rsidRPr="00FA539A">
        <w:rPr>
          <w:lang w:val="en-US"/>
        </w:rPr>
        <w:t xml:space="preserve">, </w:t>
      </w:r>
      <w:r w:rsidRPr="00FA539A">
        <w:rPr>
          <w:i/>
          <w:iCs/>
          <w:lang w:val="en-US"/>
        </w:rPr>
        <w:t xml:space="preserve">Rum-Punch </w:t>
      </w:r>
      <w:r w:rsidRPr="00FA539A">
        <w:rPr>
          <w:lang w:val="en-US"/>
        </w:rPr>
        <w:t xml:space="preserve">(any edition) </w:t>
      </w:r>
    </w:p>
    <w:p w14:paraId="6D81A417" w14:textId="64414B8E" w:rsidR="00F707EA" w:rsidRPr="00E91998" w:rsidRDefault="00074A0B" w:rsidP="00F707EA">
      <w:pPr>
        <w:spacing w:line="240" w:lineRule="auto"/>
        <w:rPr>
          <w:rStyle w:val="Collegamentoipertestuale"/>
          <w:i/>
          <w:sz w:val="16"/>
          <w:szCs w:val="16"/>
          <w:lang w:val="en-US"/>
        </w:rPr>
      </w:pPr>
      <w:r w:rsidRPr="00FA539A">
        <w:rPr>
          <w:smallCaps/>
          <w:sz w:val="16"/>
          <w:lang w:val="en-GB"/>
        </w:rPr>
        <w:t>S. Wasson</w:t>
      </w:r>
      <w:r>
        <w:rPr>
          <w:lang w:val="en-GB"/>
        </w:rPr>
        <w:t xml:space="preserve">, </w:t>
      </w:r>
      <w:r>
        <w:rPr>
          <w:i/>
          <w:iCs/>
          <w:lang w:val="en-GB"/>
        </w:rPr>
        <w:t xml:space="preserve">Chinatown and the Last Years of Hollywood </w:t>
      </w:r>
      <w:r>
        <w:rPr>
          <w:lang w:val="en-GB"/>
        </w:rPr>
        <w:t>(Flatiron Books)</w:t>
      </w:r>
      <w:r w:rsidR="00F707EA" w:rsidRPr="00F707EA">
        <w:rPr>
          <w:i/>
          <w:color w:val="0070C0"/>
          <w:sz w:val="16"/>
          <w:szCs w:val="16"/>
          <w:lang w:val="en-US"/>
        </w:rPr>
        <w:t xml:space="preserve"> </w:t>
      </w:r>
      <w:r w:rsidR="00E91998">
        <w:rPr>
          <w:i/>
          <w:sz w:val="16"/>
          <w:szCs w:val="16"/>
          <w:lang w:val="en-US"/>
        </w:rPr>
        <w:fldChar w:fldCharType="begin"/>
      </w:r>
      <w:r w:rsidR="00E91998">
        <w:rPr>
          <w:i/>
          <w:sz w:val="16"/>
          <w:szCs w:val="16"/>
          <w:lang w:val="en-US"/>
        </w:rPr>
        <w:instrText xml:space="preserve"> HYPERLINK "https://librerie.unicatt.it/scheda-libro/wasson-sam/big-goodbye-chinatwon-and-the-last-years-of-hollywood-9780571347636-690031.html" </w:instrText>
      </w:r>
      <w:r w:rsidR="00E91998">
        <w:rPr>
          <w:i/>
          <w:sz w:val="16"/>
          <w:szCs w:val="16"/>
          <w:lang w:val="en-US"/>
        </w:rPr>
      </w:r>
      <w:r w:rsidR="00E91998">
        <w:rPr>
          <w:i/>
          <w:sz w:val="16"/>
          <w:szCs w:val="16"/>
          <w:lang w:val="en-US"/>
        </w:rPr>
        <w:fldChar w:fldCharType="separate"/>
      </w:r>
      <w:bookmarkStart w:id="0" w:name="_GoBack"/>
      <w:proofErr w:type="spellStart"/>
      <w:r w:rsidR="00F707EA" w:rsidRPr="00E91998">
        <w:rPr>
          <w:rStyle w:val="Collegamentoipertestuale"/>
          <w:i/>
          <w:sz w:val="16"/>
          <w:szCs w:val="16"/>
          <w:lang w:val="en-US"/>
        </w:rPr>
        <w:t>Acquista</w:t>
      </w:r>
      <w:proofErr w:type="spellEnd"/>
      <w:r w:rsidR="00F707EA" w:rsidRPr="00E91998">
        <w:rPr>
          <w:rStyle w:val="Collegamentoipertestuale"/>
          <w:i/>
          <w:sz w:val="16"/>
          <w:szCs w:val="16"/>
          <w:lang w:val="en-US"/>
        </w:rPr>
        <w:t xml:space="preserve"> da VP</w:t>
      </w:r>
      <w:bookmarkEnd w:id="0"/>
    </w:p>
    <w:p w14:paraId="3DC74462" w14:textId="7D2AEA41" w:rsidR="00074A0B" w:rsidRPr="0041601C" w:rsidRDefault="00E91998" w:rsidP="00074A0B">
      <w:pPr>
        <w:pStyle w:val="Testo1"/>
        <w:spacing w:before="0"/>
        <w:rPr>
          <w:sz w:val="20"/>
          <w:lang w:val="en-US"/>
        </w:rPr>
      </w:pPr>
      <w:r>
        <w:rPr>
          <w:rFonts w:ascii="Times New Roman" w:hAnsi="Times New Roman"/>
          <w:i/>
          <w:noProof w:val="0"/>
          <w:sz w:val="16"/>
          <w:szCs w:val="16"/>
          <w:lang w:val="en-US"/>
        </w:rPr>
        <w:fldChar w:fldCharType="end"/>
      </w:r>
    </w:p>
    <w:p w14:paraId="209748D5" w14:textId="77777777" w:rsidR="00074A0B" w:rsidRPr="005204A9" w:rsidRDefault="00074A0B" w:rsidP="00074A0B">
      <w:pPr>
        <w:spacing w:before="240" w:after="120"/>
        <w:rPr>
          <w:b/>
          <w:i/>
          <w:sz w:val="18"/>
        </w:rPr>
      </w:pPr>
      <w:r w:rsidRPr="005204A9">
        <w:rPr>
          <w:b/>
          <w:i/>
          <w:sz w:val="18"/>
        </w:rPr>
        <w:t>DIDATTICA DEL CORSO</w:t>
      </w:r>
    </w:p>
    <w:p w14:paraId="66D1D610" w14:textId="2C80406D" w:rsidR="00074A0B" w:rsidRDefault="00074A0B" w:rsidP="00074A0B">
      <w:pPr>
        <w:pStyle w:val="Testo2"/>
        <w:rPr>
          <w:rFonts w:cs="Times"/>
          <w:szCs w:val="18"/>
        </w:rPr>
      </w:pPr>
      <w:r>
        <w:t>Lezioni frontali in aula</w:t>
      </w:r>
      <w:r w:rsidR="00EA3D7A">
        <w:t xml:space="preserve"> (e/o online)</w:t>
      </w:r>
      <w:r>
        <w:t xml:space="preserve"> in inglese.</w:t>
      </w:r>
    </w:p>
    <w:p w14:paraId="1B0E16FB" w14:textId="77777777" w:rsidR="00074A0B" w:rsidRDefault="00074A0B" w:rsidP="00074A0B">
      <w:pPr>
        <w:spacing w:before="240" w:after="120"/>
        <w:rPr>
          <w:b/>
          <w:i/>
          <w:sz w:val="18"/>
        </w:rPr>
      </w:pPr>
      <w:r>
        <w:rPr>
          <w:b/>
          <w:i/>
          <w:sz w:val="18"/>
        </w:rPr>
        <w:t>METODO E CRITERI DI VALUTAZIONE</w:t>
      </w:r>
    </w:p>
    <w:p w14:paraId="069455A2" w14:textId="0DA7F74C" w:rsidR="00074A0B" w:rsidRDefault="00074A0B" w:rsidP="00FA539A">
      <w:pPr>
        <w:pStyle w:val="Testo1"/>
        <w:spacing w:before="0"/>
        <w:ind w:left="0" w:firstLine="284"/>
        <w:rPr>
          <w:rFonts w:cs="Times"/>
          <w:szCs w:val="18"/>
        </w:rPr>
      </w:pPr>
      <w:r>
        <w:t>La valutazione avviene tramite un colloquio orale in lingua inglese. Il colloquio si struttura in</w:t>
      </w:r>
      <w:r w:rsidR="00423DFB">
        <w:t xml:space="preserve"> </w:t>
      </w:r>
      <w:r>
        <w:t>due parti, nelle quali vengono poste allo studente domande aperte. Nella prima parte, lo studente dimostrerà di conoscere la figura e l’opera degli autori trattati nel primo modulo (</w:t>
      </w:r>
      <w:r w:rsidR="00EA3D7A">
        <w:t>Hemingway</w:t>
      </w:r>
      <w:r w:rsidR="00EA3D7A">
        <w:rPr>
          <w:i/>
          <w:iCs/>
        </w:rPr>
        <w:t xml:space="preserve">, </w:t>
      </w:r>
      <w:r w:rsidR="00EA3D7A" w:rsidRPr="00074A0B">
        <w:t>Hammet</w:t>
      </w:r>
      <w:r w:rsidR="00EA3D7A">
        <w:t>t, McCoy, West e Chandler</w:t>
      </w:r>
      <w:r>
        <w:t xml:space="preserve">), di saperle collocare nei relativi contesti storico-letterari, di essere in grado di leggere correttamente ad alta voce e </w:t>
      </w:r>
      <w:r w:rsidR="002D0199">
        <w:t>dimostrare di compre</w:t>
      </w:r>
      <w:r w:rsidR="00423DFB">
        <w:t>n</w:t>
      </w:r>
      <w:r w:rsidR="002D0199">
        <w:t xml:space="preserve">dere </w:t>
      </w:r>
      <w:r>
        <w:t xml:space="preserve">passi dei testi in programma, di averne acquisito il lessico e le strutture linguistiche, e di saperli analizzare e interpretare in modo critico e con autonomia di giudizio. </w:t>
      </w:r>
      <w:r w:rsidR="00423DFB">
        <w:t xml:space="preserve">Stesso discorso per gli autori affrontati nel secondo modulo (Cheever, Vonnegut, Kosinski e Leonard, quando il candidato dovrà dimostrare anche  </w:t>
      </w:r>
      <w:r>
        <w:t>di conoscere le problematiche storico-antopologiche e cinematografiche discusse nel saggio di S. Wasson</w:t>
      </w:r>
      <w:r w:rsidR="00423DFB">
        <w:t xml:space="preserve"> a proposito di </w:t>
      </w:r>
      <w:r>
        <w:rPr>
          <w:i/>
          <w:iCs/>
        </w:rPr>
        <w:t>Chinatown</w:t>
      </w:r>
      <w:r w:rsidR="00423DFB">
        <w:t>.</w:t>
      </w:r>
      <w:r>
        <w:rPr>
          <w:i/>
          <w:iCs/>
        </w:rPr>
        <w:t xml:space="preserve"> </w:t>
      </w:r>
      <w:r>
        <w:t>Il voto finale, in trentesimi, tiene conto per il 50% del colloquio riguardante il primo modulo e per il 50% di quello riguardante il secondo: per superare l’esame è necessario aver raggiunto la sufficienza (18/30) in entrambe le parti. Proprietà di linguaggio, chiarezza espositiva e capacità di organizzare in modo efficace e coerente l'argomentazione sono elementi determinanti ai fini della valutazione, per la quale si terrà conto anche di eventuali presentazioni di classe (vuoi riducendo il numero di domande poste durante il colloquio, vuoi in aggiunta alle domande per chi ambisca alla distinzione della lode).</w:t>
      </w:r>
    </w:p>
    <w:p w14:paraId="03A5CF0B" w14:textId="77777777" w:rsidR="00074A0B" w:rsidRDefault="00074A0B" w:rsidP="00FA539A">
      <w:pPr>
        <w:pStyle w:val="Testo2"/>
        <w:rPr>
          <w:rFonts w:cs="Times"/>
          <w:szCs w:val="18"/>
        </w:rPr>
      </w:pPr>
      <w:r>
        <w:t>Il programma è il medesimo per gli studenti frequentanti e per i non frequentanti.</w:t>
      </w:r>
    </w:p>
    <w:p w14:paraId="0B048C67" w14:textId="77777777" w:rsidR="00074A0B" w:rsidRDefault="00074A0B" w:rsidP="00074A0B">
      <w:pPr>
        <w:spacing w:before="240" w:after="120" w:line="240" w:lineRule="exact"/>
        <w:rPr>
          <w:b/>
          <w:i/>
          <w:sz w:val="18"/>
        </w:rPr>
      </w:pPr>
      <w:r>
        <w:rPr>
          <w:b/>
          <w:i/>
          <w:sz w:val="18"/>
        </w:rPr>
        <w:t>AVVERTENZE E PREREQUISITI</w:t>
      </w:r>
    </w:p>
    <w:p w14:paraId="488AEFC2" w14:textId="02B5E2B9" w:rsidR="00074A0B" w:rsidRDefault="00074A0B" w:rsidP="00074A0B">
      <w:pPr>
        <w:pStyle w:val="Testo2"/>
        <w:rPr>
          <w:rFonts w:cs="Times"/>
          <w:szCs w:val="18"/>
        </w:rPr>
      </w:pPr>
      <w:r>
        <w:t xml:space="preserve">Si intende che gli studenti iscritti al corso per 4-5 Cfu porteranno </w:t>
      </w:r>
      <w:r>
        <w:rPr>
          <w:i/>
          <w:iCs/>
        </w:rPr>
        <w:t>un solo modulo, a loro scelta</w:t>
      </w:r>
      <w:r w:rsidR="00423DFB">
        <w:t xml:space="preserve"> (ma è raccomandato che portino il primo modulo),</w:t>
      </w:r>
      <w:r>
        <w:t xml:space="preserve"> quelli iscritti al corso per 8-10 Cfu li porteranno entrambi.</w:t>
      </w:r>
    </w:p>
    <w:p w14:paraId="151CC2FD" w14:textId="1B59216F" w:rsidR="00074A0B" w:rsidRDefault="00074A0B" w:rsidP="00074A0B">
      <w:pPr>
        <w:pStyle w:val="Testo2"/>
      </w:pPr>
      <w:r>
        <w:t xml:space="preserve">L’insegnamento richiede una buona padronanza della lingua inglese, letta e parlata, ma non necessita di prerequisiti relativi ai contenuti. Si auspica comunque una certa conoscenza della letteratura </w:t>
      </w:r>
      <w:r w:rsidR="00423DFB">
        <w:t>amerina</w:t>
      </w:r>
      <w:r>
        <w:t>, e si presuppongono interesse, curiosità intellettuale e passione per la lettura.</w:t>
      </w:r>
    </w:p>
    <w:p w14:paraId="0B7131C4" w14:textId="77777777" w:rsidR="00074A0B" w:rsidRDefault="00074A0B" w:rsidP="00074A0B">
      <w:pPr>
        <w:pStyle w:val="Testo2"/>
      </w:pPr>
      <w:r w:rsidRPr="00B37C2C">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108ED51E" w14:textId="77777777" w:rsidR="00074A0B" w:rsidRDefault="00074A0B" w:rsidP="00074A0B">
      <w:pPr>
        <w:pStyle w:val="Testo2"/>
        <w:spacing w:before="120"/>
        <w:rPr>
          <w:rFonts w:cs="Times"/>
          <w:szCs w:val="18"/>
        </w:rPr>
      </w:pPr>
      <w:r>
        <w:rPr>
          <w:i/>
          <w:iCs/>
        </w:rPr>
        <w:t>Orario e luogo di ricevimento</w:t>
      </w:r>
    </w:p>
    <w:p w14:paraId="52929A1E" w14:textId="54400DEB" w:rsidR="00074A0B" w:rsidRDefault="00074A0B" w:rsidP="00074A0B">
      <w:pPr>
        <w:pStyle w:val="Testo2"/>
        <w:rPr>
          <w:rFonts w:cs="Times"/>
          <w:szCs w:val="18"/>
        </w:rPr>
      </w:pPr>
      <w:r>
        <w:t>Il Prof. Francesco Rognoni riceve gli studenti secondo l’orario indicato sulla pagina docente (v.</w:t>
      </w:r>
      <w:r w:rsidR="00FA539A">
        <w:t xml:space="preserve"> </w:t>
      </w:r>
      <w:r>
        <w:rPr>
          <w:i/>
          <w:iCs/>
        </w:rPr>
        <w:t xml:space="preserve">Homepage </w:t>
      </w:r>
      <w:r>
        <w:t>dell’Università Cattolica,</w:t>
      </w:r>
      <w:r w:rsidR="00FA539A">
        <w:t xml:space="preserve"> </w:t>
      </w:r>
      <w:r>
        <w:rPr>
          <w:i/>
          <w:iCs/>
        </w:rPr>
        <w:t>link</w:t>
      </w:r>
      <w:r w:rsidR="00FA539A">
        <w:rPr>
          <w:i/>
          <w:iCs/>
        </w:rPr>
        <w:t xml:space="preserve"> </w:t>
      </w:r>
      <w:r>
        <w:t>docenti).</w:t>
      </w:r>
    </w:p>
    <w:p w14:paraId="54689922" w14:textId="77777777" w:rsidR="0021100C" w:rsidRDefault="0021100C"/>
    <w:sectPr w:rsidR="0021100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D3248" w14:textId="77777777" w:rsidR="000176C3" w:rsidRDefault="000176C3" w:rsidP="00074A0B">
      <w:pPr>
        <w:spacing w:line="240" w:lineRule="auto"/>
      </w:pPr>
      <w:r>
        <w:separator/>
      </w:r>
    </w:p>
  </w:endnote>
  <w:endnote w:type="continuationSeparator" w:id="0">
    <w:p w14:paraId="0BF590EA" w14:textId="77777777" w:rsidR="000176C3" w:rsidRDefault="000176C3" w:rsidP="0007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23248" w14:textId="77777777" w:rsidR="000176C3" w:rsidRDefault="000176C3" w:rsidP="00074A0B">
      <w:pPr>
        <w:spacing w:line="240" w:lineRule="auto"/>
      </w:pPr>
      <w:r>
        <w:separator/>
      </w:r>
    </w:p>
  </w:footnote>
  <w:footnote w:type="continuationSeparator" w:id="0">
    <w:p w14:paraId="4DB705F7" w14:textId="77777777" w:rsidR="000176C3" w:rsidRDefault="000176C3" w:rsidP="00074A0B">
      <w:pPr>
        <w:spacing w:line="240" w:lineRule="auto"/>
      </w:pPr>
      <w:r>
        <w:continuationSeparator/>
      </w:r>
    </w:p>
  </w:footnote>
  <w:footnote w:id="1">
    <w:p w14:paraId="5D2F4FE8" w14:textId="77777777" w:rsidR="00074A0B" w:rsidRDefault="00074A0B" w:rsidP="00074A0B">
      <w:pPr>
        <w:pStyle w:val="Testonotaapidipagina"/>
      </w:pPr>
      <w:r>
        <w:rPr>
          <w:rStyle w:val="Rimandonotaapidipagina"/>
          <w:rFonts w:eastAsiaTheme="majorEastAsi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0B"/>
    <w:rsid w:val="000176C3"/>
    <w:rsid w:val="00074A0B"/>
    <w:rsid w:val="0021100C"/>
    <w:rsid w:val="002D0199"/>
    <w:rsid w:val="003A63D6"/>
    <w:rsid w:val="00423DFB"/>
    <w:rsid w:val="00CC6BFA"/>
    <w:rsid w:val="00E91998"/>
    <w:rsid w:val="00EA3D7A"/>
    <w:rsid w:val="00F707EA"/>
    <w:rsid w:val="00FA5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F707EA"/>
    <w:rPr>
      <w:color w:val="0563C1" w:themeColor="hyperlink"/>
      <w:u w:val="single"/>
    </w:rPr>
  </w:style>
  <w:style w:type="character" w:styleId="Collegamentovisitato">
    <w:name w:val="FollowedHyperlink"/>
    <w:basedOn w:val="Carpredefinitoparagrafo"/>
    <w:uiPriority w:val="99"/>
    <w:semiHidden/>
    <w:unhideWhenUsed/>
    <w:rsid w:val="00E919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4A0B"/>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uiPriority w:val="9"/>
    <w:qFormat/>
    <w:rsid w:val="00074A0B"/>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074A0B"/>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074A0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A0B"/>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074A0B"/>
    <w:rPr>
      <w:rFonts w:ascii="Times" w:eastAsia="Times New Roman" w:hAnsi="Times" w:cs="Times New Roman"/>
      <w:smallCaps/>
      <w:noProof/>
      <w:sz w:val="18"/>
      <w:szCs w:val="20"/>
      <w:lang w:eastAsia="it-IT"/>
    </w:rPr>
  </w:style>
  <w:style w:type="paragraph" w:customStyle="1" w:styleId="Testo1">
    <w:name w:val="Testo 1"/>
    <w:rsid w:val="00074A0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074A0B"/>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07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74A0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074A0B"/>
    <w:rPr>
      <w:vertAlign w:val="superscript"/>
    </w:rPr>
  </w:style>
  <w:style w:type="character" w:customStyle="1" w:styleId="Titolo3Carattere">
    <w:name w:val="Titolo 3 Carattere"/>
    <w:basedOn w:val="Carpredefinitoparagrafo"/>
    <w:link w:val="Titolo3"/>
    <w:uiPriority w:val="9"/>
    <w:semiHidden/>
    <w:rsid w:val="00074A0B"/>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F707EA"/>
    <w:rPr>
      <w:color w:val="0563C1" w:themeColor="hyperlink"/>
      <w:u w:val="single"/>
    </w:rPr>
  </w:style>
  <w:style w:type="character" w:styleId="Collegamentovisitato">
    <w:name w:val="FollowedHyperlink"/>
    <w:basedOn w:val="Carpredefinitoparagrafo"/>
    <w:uiPriority w:val="99"/>
    <w:semiHidden/>
    <w:unhideWhenUsed/>
    <w:rsid w:val="00E91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hammett-dashiell/maltese-falcon-9780679722649-22893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4605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Rognoni Francesco</dc:creator>
  <cp:keywords/>
  <dc:description/>
  <cp:lastModifiedBy>Caputo Chiara</cp:lastModifiedBy>
  <cp:revision>4</cp:revision>
  <dcterms:created xsi:type="dcterms:W3CDTF">2021-05-18T08:12:00Z</dcterms:created>
  <dcterms:modified xsi:type="dcterms:W3CDTF">2021-10-01T09:40:00Z</dcterms:modified>
</cp:coreProperties>
</file>