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6D6641" w:rsidP="002D5E17">
      <w:pPr>
        <w:pStyle w:val="Titolo1"/>
      </w:pPr>
      <w:r>
        <w:t>Storia del teatro europeo (francese)</w:t>
      </w:r>
    </w:p>
    <w:p w:rsidR="006D6641" w:rsidRDefault="006D6641" w:rsidP="006D6641">
      <w:pPr>
        <w:pStyle w:val="Titolo2"/>
      </w:pPr>
      <w:r>
        <w:t>Prof. Marisa Verna</w:t>
      </w:r>
    </w:p>
    <w:p w:rsidR="006D6641" w:rsidRDefault="006D6641" w:rsidP="006D6641">
      <w:pPr>
        <w:spacing w:before="240" w:after="120" w:line="240" w:lineRule="exact"/>
        <w:rPr>
          <w:b/>
          <w:sz w:val="18"/>
        </w:rPr>
      </w:pPr>
      <w:r>
        <w:rPr>
          <w:b/>
          <w:i/>
          <w:sz w:val="18"/>
        </w:rPr>
        <w:t>OBIETTIVO DEL CORSO E RISULTATI DI APPRENDIMENTO ATTESI</w:t>
      </w:r>
    </w:p>
    <w:p w:rsidR="006D6641" w:rsidRPr="00651ADA" w:rsidRDefault="006D6641" w:rsidP="006D6641">
      <w:pPr>
        <w:spacing w:line="240" w:lineRule="exact"/>
      </w:pPr>
      <w:r w:rsidRPr="00651ADA">
        <w:t>Scopo dell’insegnamento è che i partecipanti acquisiscano conoscenze su due momenti chiave dell’estetica teatrale francese: l’estetica classica, con la lettura e l’analisi di un’opera di Jean Racine (</w:t>
      </w:r>
      <w:r w:rsidRPr="00651ADA">
        <w:rPr>
          <w:i/>
          <w:iCs/>
        </w:rPr>
        <w:t>Iphigénie)</w:t>
      </w:r>
      <w:r w:rsidRPr="00651ADA">
        <w:t xml:space="preserve"> e l’estetica contemporanea del teatro partecipativo (théâtre tout public), con la lettura e l’analisi di un’opera di Joël Pommerat (</w:t>
      </w:r>
      <w:r w:rsidRPr="00651ADA">
        <w:rPr>
          <w:i/>
          <w:iCs/>
        </w:rPr>
        <w:t>Pinocchio</w:t>
      </w:r>
      <w:r w:rsidRPr="00651ADA">
        <w:t xml:space="preserve">). Al termine dell’insegnamento, gli studenti dovranno essere in grado di valutare la struttura drammatica e scenica delle due opere, analizzandone l’elemento testuale e la dimensione drammaturgica (grazie anche alla visione e all’analisi di alcune messe in scena disponibili in linea). </w:t>
      </w:r>
    </w:p>
    <w:p w:rsidR="006D6641" w:rsidRPr="00651ADA" w:rsidRDefault="006D6641" w:rsidP="006D6641">
      <w:pPr>
        <w:spacing w:line="240" w:lineRule="exact"/>
      </w:pPr>
      <w:r w:rsidRPr="00651ADA">
        <w:t>È atteso lo sviluppo della capacità critica e di analisi drammaturgica pr</w:t>
      </w:r>
      <w:r>
        <w:t xml:space="preserve">esso gli studenti, che saranno </w:t>
      </w:r>
      <w:r w:rsidRPr="00651ADA">
        <w:t>invitati a presentare i risultati delle loro analisi e a discuterne con la classe.</w:t>
      </w:r>
    </w:p>
    <w:p w:rsidR="006D6641" w:rsidRDefault="006D6641" w:rsidP="006D6641">
      <w:pPr>
        <w:spacing w:before="240" w:after="120" w:line="240" w:lineRule="exact"/>
        <w:rPr>
          <w:b/>
          <w:sz w:val="18"/>
        </w:rPr>
      </w:pPr>
      <w:r>
        <w:rPr>
          <w:b/>
          <w:i/>
          <w:sz w:val="18"/>
        </w:rPr>
        <w:t>PROGRAMMA DEL CORSO</w:t>
      </w:r>
    </w:p>
    <w:p w:rsidR="006D6641" w:rsidRPr="00651ADA" w:rsidRDefault="006D6641" w:rsidP="006D6641">
      <w:pPr>
        <w:spacing w:line="240" w:lineRule="exact"/>
      </w:pPr>
      <w:r w:rsidRPr="00651ADA">
        <w:t>Programma del corso</w:t>
      </w:r>
    </w:p>
    <w:p w:rsidR="006D6641" w:rsidRPr="00651ADA" w:rsidRDefault="006D6641" w:rsidP="006D6641">
      <w:pPr>
        <w:spacing w:line="240" w:lineRule="exact"/>
        <w:rPr>
          <w:rFonts w:eastAsiaTheme="minorHAnsi"/>
          <w:szCs w:val="20"/>
          <w:lang w:eastAsia="en-US"/>
        </w:rPr>
      </w:pPr>
      <w:r>
        <w:rPr>
          <w:rFonts w:eastAsiaTheme="minorHAnsi"/>
          <w:szCs w:val="20"/>
          <w:lang w:eastAsia="en-US"/>
        </w:rPr>
        <w:t>1.</w:t>
      </w:r>
      <w:r>
        <w:rPr>
          <w:rFonts w:eastAsiaTheme="minorHAnsi"/>
          <w:szCs w:val="20"/>
          <w:lang w:eastAsia="en-US"/>
        </w:rPr>
        <w:tab/>
      </w:r>
      <w:r w:rsidRPr="00651ADA">
        <w:rPr>
          <w:rFonts w:eastAsiaTheme="minorHAnsi"/>
          <w:szCs w:val="20"/>
          <w:lang w:eastAsia="en-US"/>
        </w:rPr>
        <w:t>Il teatro classico francese. Strutture, definizione, testi fondanti.</w:t>
      </w:r>
    </w:p>
    <w:p w:rsidR="006D6641" w:rsidRPr="00651ADA" w:rsidRDefault="006D6641" w:rsidP="006D6641">
      <w:pPr>
        <w:spacing w:line="240" w:lineRule="exact"/>
      </w:pPr>
      <w:r>
        <w:t>2.</w:t>
      </w:r>
      <w:r>
        <w:tab/>
      </w:r>
      <w:r w:rsidRPr="00651ADA">
        <w:t xml:space="preserve">Lettura e analisi di </w:t>
      </w:r>
      <w:proofErr w:type="spellStart"/>
      <w:r w:rsidRPr="00651ADA">
        <w:rPr>
          <w:i/>
          <w:iCs/>
        </w:rPr>
        <w:t>Iphigénie</w:t>
      </w:r>
      <w:proofErr w:type="spellEnd"/>
      <w:r w:rsidR="00467B18">
        <w:t xml:space="preserve"> </w:t>
      </w:r>
      <w:r w:rsidRPr="00651ADA">
        <w:t xml:space="preserve">di Jean </w:t>
      </w:r>
      <w:proofErr w:type="spellStart"/>
      <w:r w:rsidRPr="00651ADA">
        <w:t>Racine</w:t>
      </w:r>
      <w:proofErr w:type="spellEnd"/>
    </w:p>
    <w:p w:rsidR="006D6641" w:rsidRPr="00651ADA" w:rsidRDefault="006D6641" w:rsidP="006D6641">
      <w:pPr>
        <w:spacing w:line="240" w:lineRule="exact"/>
        <w:rPr>
          <w:lang w:val="fr-FR"/>
        </w:rPr>
      </w:pPr>
      <w:r>
        <w:rPr>
          <w:lang w:val="fr-FR"/>
        </w:rPr>
        <w:t>3.</w:t>
      </w:r>
      <w:r>
        <w:rPr>
          <w:lang w:val="fr-FR"/>
        </w:rPr>
        <w:tab/>
      </w:r>
      <w:r w:rsidRPr="00651ADA">
        <w:rPr>
          <w:lang w:val="fr-FR"/>
        </w:rPr>
        <w:t xml:space="preserve">Il théâtre </w:t>
      </w:r>
      <w:r>
        <w:rPr>
          <w:lang w:val="fr-FR"/>
        </w:rPr>
        <w:t>tout public</w:t>
      </w:r>
      <w:r w:rsidRPr="00651ADA">
        <w:rPr>
          <w:lang w:val="fr-FR"/>
        </w:rPr>
        <w:t xml:space="preserve">: Joël Pommerat. </w:t>
      </w:r>
    </w:p>
    <w:p w:rsidR="006D6641" w:rsidRPr="00651ADA" w:rsidRDefault="006D6641" w:rsidP="006D6641">
      <w:pPr>
        <w:spacing w:line="240" w:lineRule="exact"/>
      </w:pPr>
      <w:r>
        <w:t>4.</w:t>
      </w:r>
      <w:r>
        <w:tab/>
      </w:r>
      <w:r w:rsidRPr="00651ADA">
        <w:t>La riscrittura della favola</w:t>
      </w:r>
    </w:p>
    <w:p w:rsidR="006D6641" w:rsidRPr="00651ADA" w:rsidRDefault="006D6641" w:rsidP="006D6641">
      <w:pPr>
        <w:spacing w:line="240" w:lineRule="exact"/>
      </w:pPr>
      <w:r>
        <w:t>5.</w:t>
      </w:r>
      <w:r>
        <w:tab/>
      </w:r>
      <w:r w:rsidRPr="00651ADA">
        <w:t xml:space="preserve">Lettura e analisi di </w:t>
      </w:r>
      <w:r w:rsidRPr="00651ADA">
        <w:rPr>
          <w:i/>
          <w:iCs/>
        </w:rPr>
        <w:t>Pinocchio</w:t>
      </w:r>
      <w:r w:rsidR="00467B18">
        <w:t xml:space="preserve"> </w:t>
      </w:r>
      <w:r w:rsidRPr="00651ADA">
        <w:t xml:space="preserve">di </w:t>
      </w:r>
      <w:proofErr w:type="spellStart"/>
      <w:r w:rsidRPr="00651ADA">
        <w:t>Joël</w:t>
      </w:r>
      <w:proofErr w:type="spellEnd"/>
      <w:r w:rsidRPr="00651ADA">
        <w:t xml:space="preserve"> </w:t>
      </w:r>
      <w:proofErr w:type="spellStart"/>
      <w:r w:rsidRPr="00651ADA">
        <w:t>Pommerat</w:t>
      </w:r>
      <w:proofErr w:type="spellEnd"/>
      <w:r w:rsidRPr="00651ADA">
        <w:t xml:space="preserve"> </w:t>
      </w:r>
    </w:p>
    <w:p w:rsidR="006D6641" w:rsidRDefault="006D6641" w:rsidP="006D6641">
      <w:pPr>
        <w:keepNext/>
        <w:spacing w:before="240" w:after="120" w:line="240" w:lineRule="exact"/>
        <w:rPr>
          <w:b/>
          <w:sz w:val="18"/>
        </w:rPr>
      </w:pPr>
      <w:r>
        <w:rPr>
          <w:b/>
          <w:i/>
          <w:sz w:val="18"/>
        </w:rPr>
        <w:t>BIBLIOGRAFIA</w:t>
      </w:r>
      <w:r w:rsidR="00862DFA">
        <w:rPr>
          <w:rStyle w:val="Rimandonotaapidipagina"/>
          <w:b/>
          <w:i/>
          <w:sz w:val="18"/>
        </w:rPr>
        <w:footnoteReference w:id="1"/>
      </w:r>
    </w:p>
    <w:p w:rsidR="006D6641" w:rsidRPr="006D6641" w:rsidRDefault="006D6641" w:rsidP="006D6641">
      <w:pPr>
        <w:pStyle w:val="Testo1"/>
        <w:spacing w:before="0"/>
        <w:rPr>
          <w:rFonts w:eastAsiaTheme="minorHAnsi"/>
        </w:rPr>
      </w:pPr>
      <w:r w:rsidRPr="006D6641">
        <w:rPr>
          <w:rFonts w:eastAsiaTheme="minorHAnsi"/>
        </w:rPr>
        <w:t>Bibliografia obbligatoria</w:t>
      </w:r>
    </w:p>
    <w:p w:rsidR="006D6641" w:rsidRPr="006D6641" w:rsidRDefault="006D6641" w:rsidP="006D6641">
      <w:pPr>
        <w:pStyle w:val="Testo1"/>
        <w:spacing w:before="0"/>
        <w:rPr>
          <w:rFonts w:eastAsiaTheme="minorHAnsi"/>
        </w:rPr>
      </w:pPr>
      <w:r w:rsidRPr="006D6641">
        <w:rPr>
          <w:rFonts w:eastAsiaTheme="minorHAnsi"/>
        </w:rPr>
        <w:t>Bibliografia primaria</w:t>
      </w:r>
    </w:p>
    <w:p w:rsidR="006D6641" w:rsidRPr="006D6641" w:rsidRDefault="006D6641" w:rsidP="006D6641">
      <w:pPr>
        <w:pStyle w:val="Testo1"/>
        <w:spacing w:before="0"/>
      </w:pPr>
      <w:r w:rsidRPr="006D6641">
        <w:t>Jean Racine, Iphigénie (qualunque edizione integrale, in traduzione italiana, se lo desiderano, per gli studenti della Facoltà di Lettere</w:t>
      </w:r>
      <w:r w:rsidR="00862DFA">
        <w:t xml:space="preserve"> </w:t>
      </w:r>
      <w:hyperlink r:id="rId9" w:history="1">
        <w:r w:rsidR="00862DFA" w:rsidRPr="00862DFA">
          <w:rPr>
            <w:rStyle w:val="Collegamentoipertestuale"/>
            <w:rFonts w:ascii="Times New Roman" w:hAnsi="Times New Roman"/>
            <w:i/>
            <w:sz w:val="16"/>
            <w:szCs w:val="16"/>
          </w:rPr>
          <w:t>Acquista da VP</w:t>
        </w:r>
      </w:hyperlink>
      <w:r w:rsidRPr="006D6641">
        <w:t>, obbligatoriamente in originale francese per gli studenti della Facoltà di Scienze Linguistiche</w:t>
      </w:r>
      <w:r w:rsidR="00862DFA">
        <w:t xml:space="preserve"> </w:t>
      </w:r>
      <w:hyperlink r:id="rId10" w:history="1">
        <w:r w:rsidR="00862DFA" w:rsidRPr="00862DFA">
          <w:rPr>
            <w:rStyle w:val="Collegamentoipertestuale"/>
            <w:rFonts w:ascii="Times New Roman" w:hAnsi="Times New Roman"/>
            <w:i/>
            <w:sz w:val="16"/>
            <w:szCs w:val="16"/>
          </w:rPr>
          <w:t>Acquista da VP</w:t>
        </w:r>
      </w:hyperlink>
      <w:bookmarkStart w:id="0" w:name="_GoBack"/>
      <w:bookmarkEnd w:id="0"/>
      <w:r w:rsidRPr="006D6641">
        <w:t>).</w:t>
      </w:r>
    </w:p>
    <w:p w:rsidR="006D6641" w:rsidRPr="006D6641" w:rsidRDefault="006D6641" w:rsidP="006D6641">
      <w:pPr>
        <w:pStyle w:val="Testo1"/>
        <w:spacing w:before="0"/>
      </w:pPr>
      <w:r w:rsidRPr="006D6641">
        <w:t xml:space="preserve">Joël Pommerat, Pinocchio, Paris, Actes Sud, 2008 (per gli studenti di di Scienze Linguistiche). </w:t>
      </w:r>
      <w:r w:rsidR="00862DFA">
        <w:t xml:space="preserve"> </w:t>
      </w:r>
      <w:hyperlink r:id="rId11" w:history="1">
        <w:r w:rsidR="00862DFA" w:rsidRPr="00862DFA">
          <w:rPr>
            <w:rStyle w:val="Collegamentoipertestuale"/>
            <w:rFonts w:ascii="Times New Roman" w:hAnsi="Times New Roman"/>
            <w:i/>
            <w:sz w:val="16"/>
            <w:szCs w:val="16"/>
          </w:rPr>
          <w:t>Acquista da VP</w:t>
        </w:r>
      </w:hyperlink>
    </w:p>
    <w:p w:rsidR="006D6641" w:rsidRPr="006D6641" w:rsidRDefault="006D6641" w:rsidP="006D6641">
      <w:pPr>
        <w:pStyle w:val="Testo1"/>
        <w:spacing w:before="0"/>
      </w:pPr>
      <w:r w:rsidRPr="006D6641">
        <w:t>Joël Pommerat, Pinocchio, in Cenerentola. Pinocchio, Spoleto, Editoria &amp; Spettacolo, 2015 ( per gli studenti della Facoltà di Lettere)</w:t>
      </w:r>
    </w:p>
    <w:p w:rsidR="006D6641" w:rsidRPr="006D6641" w:rsidRDefault="006D6641" w:rsidP="006D6641">
      <w:pPr>
        <w:pStyle w:val="Testo1"/>
      </w:pPr>
      <w:r w:rsidRPr="006D6641">
        <w:t xml:space="preserve">Bibliografia secondaria </w:t>
      </w:r>
    </w:p>
    <w:p w:rsidR="006D6641" w:rsidRPr="006D6641" w:rsidRDefault="006D6641" w:rsidP="006D6641">
      <w:pPr>
        <w:pStyle w:val="Testo1"/>
        <w:spacing w:before="0"/>
        <w:rPr>
          <w:rFonts w:eastAsiaTheme="minorHAnsi"/>
        </w:rPr>
      </w:pPr>
      <w:r w:rsidRPr="006D6641">
        <w:rPr>
          <w:rFonts w:eastAsiaTheme="minorHAnsi"/>
        </w:rPr>
        <w:lastRenderedPageBreak/>
        <w:t>Per il punto 1:</w:t>
      </w:r>
      <w:r w:rsidR="00467B18">
        <w:rPr>
          <w:rFonts w:eastAsiaTheme="minorHAnsi"/>
        </w:rPr>
        <w:t xml:space="preserve"> </w:t>
      </w:r>
      <w:r w:rsidRPr="006D6641">
        <w:rPr>
          <w:rFonts w:eastAsiaTheme="minorHAnsi"/>
        </w:rPr>
        <w:t>Francesco Fiorentino, Il teatro francese del Seicento, Laterza 2008 (obbligatorio).</w:t>
      </w:r>
      <w:r w:rsidR="00862DFA">
        <w:rPr>
          <w:rFonts w:eastAsiaTheme="minorHAnsi"/>
        </w:rPr>
        <w:t xml:space="preserve"> </w:t>
      </w:r>
      <w:hyperlink r:id="rId12" w:history="1">
        <w:r w:rsidR="00862DFA" w:rsidRPr="00862DFA">
          <w:rPr>
            <w:rStyle w:val="Collegamentoipertestuale"/>
            <w:rFonts w:ascii="Times New Roman" w:hAnsi="Times New Roman"/>
            <w:i/>
            <w:sz w:val="16"/>
            <w:szCs w:val="16"/>
          </w:rPr>
          <w:t>Acquista da VP</w:t>
        </w:r>
      </w:hyperlink>
    </w:p>
    <w:p w:rsidR="006D6641" w:rsidRPr="006D6641" w:rsidRDefault="006D6641" w:rsidP="006D6641">
      <w:pPr>
        <w:pStyle w:val="Testo1"/>
        <w:spacing w:before="0"/>
      </w:pPr>
      <w:r w:rsidRPr="006D6641">
        <w:rPr>
          <w:rFonts w:eastAsiaTheme="minorHAnsi"/>
        </w:rPr>
        <w:t>Per il punto 2:</w:t>
      </w:r>
      <w:r w:rsidR="00467B18">
        <w:rPr>
          <w:rFonts w:eastAsiaTheme="minorHAnsi"/>
        </w:rPr>
        <w:t xml:space="preserve"> </w:t>
      </w:r>
      <w:r w:rsidRPr="006D6641">
        <w:rPr>
          <w:rFonts w:eastAsiaTheme="minorHAnsi"/>
        </w:rPr>
        <w:t xml:space="preserve">Elena Gaffuri, </w:t>
      </w:r>
      <w:r w:rsidRPr="006D6641">
        <w:t xml:space="preserve">ll lavoro drammaturgico di Joël Pommerat. Le Théâtre Tout Public 2004-2011, EduCatt, Milano 2014 (obbligatorio). </w:t>
      </w:r>
    </w:p>
    <w:p w:rsidR="006D6641" w:rsidRDefault="00467B18" w:rsidP="00467B18">
      <w:pPr>
        <w:spacing w:before="240" w:after="120"/>
        <w:rPr>
          <w:b/>
          <w:i/>
          <w:sz w:val="18"/>
        </w:rPr>
      </w:pPr>
      <w:r>
        <w:rPr>
          <w:b/>
          <w:i/>
          <w:sz w:val="18"/>
        </w:rPr>
        <w:t>DIDATTICA DEL CORSO</w:t>
      </w:r>
    </w:p>
    <w:p w:rsidR="00467B18" w:rsidRPr="00651ADA" w:rsidRDefault="00467B18" w:rsidP="00467B18">
      <w:pPr>
        <w:pStyle w:val="Testo2"/>
      </w:pPr>
      <w:r w:rsidRPr="00651ADA">
        <w:t xml:space="preserve">Il corso è costituito in massima parte da lezioni frontali. I materiali del corso sono in buona parte resi disponibile sulla piattaforma blackboard,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La visione e il commento di rappresentazioni online, interviste e materiali digitali sarà parte integrante del corso, sia come attività individuale da discutere in classe, che come attività della classe. Saranno proposte attività di approfondimento attraverso l’intervento di specialisti del settore. </w:t>
      </w:r>
    </w:p>
    <w:p w:rsidR="00467B18" w:rsidRDefault="00467B18" w:rsidP="00467B18">
      <w:pPr>
        <w:spacing w:before="240" w:after="120"/>
        <w:rPr>
          <w:b/>
          <w:i/>
          <w:sz w:val="18"/>
        </w:rPr>
      </w:pPr>
      <w:r>
        <w:rPr>
          <w:b/>
          <w:i/>
          <w:sz w:val="18"/>
        </w:rPr>
        <w:t>METODO E CRITERI DI VALUTAZIONE</w:t>
      </w:r>
    </w:p>
    <w:p w:rsidR="00467B18" w:rsidRPr="00651ADA" w:rsidRDefault="00467B18" w:rsidP="00467B18">
      <w:pPr>
        <w:pStyle w:val="Testo2"/>
      </w:pPr>
      <w:r w:rsidRPr="00651ADA">
        <w:t>Valutazione dell’attività dello studente durante il corso : saranno valutate sia le attività di analisi individuale (saranno attivati a questo scopo dei Forums sulla piattaforma blackboard), che le discussioni in classe. Questa parte della valutazione ammonta al 40% della votazione finale. Gli studenti che fossero impossibilitati a frequentare sono pregati di contattare la docente, per l’organizzazione dei lavori individuali.</w:t>
      </w:r>
    </w:p>
    <w:p w:rsidR="00467B18" w:rsidRPr="00651ADA" w:rsidRDefault="00467B18" w:rsidP="00467B18">
      <w:pPr>
        <w:pStyle w:val="Testo2"/>
      </w:pPr>
      <w:r w:rsidRPr="00651ADA">
        <w:t>L’esame finale è costituito da una prova orale, durante la quale lo studente deve dare prova saper analizzare criticamente i testi analizzati durante l’anno, di saperli mettere in relazione fra loro, e con il contesto culturale di cui sono l’espressione (60% del voto finale)</w:t>
      </w:r>
    </w:p>
    <w:p w:rsidR="00467B18" w:rsidRDefault="00467B18" w:rsidP="00467B18">
      <w:pPr>
        <w:pStyle w:val="Testo2"/>
      </w:pPr>
      <w:r w:rsidRPr="00651ADA">
        <w:t>Gli studenti della Facoltà di Scienze Linguistiche sosterranno l’esame in lingua francese</w:t>
      </w:r>
      <w:r>
        <w:t>.</w:t>
      </w:r>
    </w:p>
    <w:p w:rsidR="00467B18" w:rsidRDefault="00467B18" w:rsidP="00467B18">
      <w:pPr>
        <w:spacing w:before="240" w:after="120" w:line="240" w:lineRule="exact"/>
        <w:rPr>
          <w:b/>
          <w:i/>
          <w:sz w:val="18"/>
        </w:rPr>
      </w:pPr>
      <w:r>
        <w:rPr>
          <w:b/>
          <w:i/>
          <w:sz w:val="18"/>
        </w:rPr>
        <w:t>AVVERTENZE E PREREQUISITI</w:t>
      </w:r>
    </w:p>
    <w:p w:rsidR="00467B18" w:rsidRPr="00651ADA" w:rsidRDefault="00467B18" w:rsidP="00467B18">
      <w:pPr>
        <w:pStyle w:val="Testo2"/>
      </w:pPr>
      <w:r w:rsidRPr="00651ADA">
        <w:t xml:space="preserve">Avendo carattere introduttivo, l’insegnamento non necessita di prerequisiti relativi ai contenuti. Si presuppone comunque interesse e curiosità intellettuale per la riflessione sulla dimensione estetica, culturale e sociale del teatro. La conoscenza della storia del teatro francese necessaria a superare questo esame si intende acquisita attraverso lo studio della bibliografia in programma. </w:t>
      </w:r>
    </w:p>
    <w:p w:rsidR="00467B18" w:rsidRPr="00651ADA" w:rsidRDefault="00467B18" w:rsidP="00467B18">
      <w:pPr>
        <w:pStyle w:val="Testo2"/>
      </w:pPr>
      <w:r w:rsidRPr="00651ADA">
        <w:t>Il corso è rivolto ai seguenti studenti:</w:t>
      </w:r>
    </w:p>
    <w:p w:rsidR="00467B18" w:rsidRPr="00651ADA" w:rsidRDefault="00467B18" w:rsidP="00467B18">
      <w:pPr>
        <w:pStyle w:val="Testo2"/>
      </w:pPr>
      <w:r w:rsidRPr="00651ADA">
        <w:t xml:space="preserve">Studenti della Facoltà di Lettere e Filosofia, LM in Filologia Moderna </w:t>
      </w:r>
    </w:p>
    <w:p w:rsidR="00467B18" w:rsidRPr="00651ADA" w:rsidRDefault="00467B18" w:rsidP="00467B18">
      <w:pPr>
        <w:pStyle w:val="Testo2"/>
      </w:pPr>
      <w:r w:rsidRPr="00651ADA">
        <w:t>Studenti della Facoltà di Scienze Linguistiche, LM in Lingue, Letterature e Culture d’Europa e d’America.</w:t>
      </w:r>
    </w:p>
    <w:p w:rsidR="00467B18" w:rsidRPr="00651ADA" w:rsidRDefault="00467B18" w:rsidP="00467B18">
      <w:pPr>
        <w:pStyle w:val="Testo2"/>
        <w:spacing w:before="120"/>
        <w:rPr>
          <w:i/>
          <w:iCs/>
        </w:rPr>
      </w:pPr>
      <w:r w:rsidRPr="00651ADA">
        <w:rPr>
          <w:i/>
          <w:iCs/>
        </w:rPr>
        <w:t>Orario e luogo di ricevimento</w:t>
      </w:r>
    </w:p>
    <w:p w:rsidR="00467B18" w:rsidRPr="00651ADA" w:rsidRDefault="00467B18" w:rsidP="00467B18">
      <w:pPr>
        <w:pStyle w:val="Testo2"/>
      </w:pPr>
      <w:r w:rsidRPr="00651ADA">
        <w:t xml:space="preserve">Il Prof. Marisa Verna riceve gli studenti come da avviso pubblicato nell’aula virtuale e nel sito dell’Università Cattolica. Gli studenti sono invitati a consultare regolarmente l’aula </w:t>
      </w:r>
      <w:r w:rsidRPr="00651ADA">
        <w:lastRenderedPageBreak/>
        <w:t>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w:t>
      </w:r>
    </w:p>
    <w:sectPr w:rsidR="00467B18" w:rsidRPr="00651A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FA" w:rsidRDefault="00862DFA" w:rsidP="00862DFA">
      <w:pPr>
        <w:spacing w:line="240" w:lineRule="auto"/>
      </w:pPr>
      <w:r>
        <w:separator/>
      </w:r>
    </w:p>
  </w:endnote>
  <w:endnote w:type="continuationSeparator" w:id="0">
    <w:p w:rsidR="00862DFA" w:rsidRDefault="00862DFA" w:rsidP="00862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orpo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FA" w:rsidRDefault="00862DFA" w:rsidP="00862DFA">
      <w:pPr>
        <w:spacing w:line="240" w:lineRule="auto"/>
      </w:pPr>
      <w:r>
        <w:separator/>
      </w:r>
    </w:p>
  </w:footnote>
  <w:footnote w:type="continuationSeparator" w:id="0">
    <w:p w:rsidR="00862DFA" w:rsidRDefault="00862DFA" w:rsidP="00862DFA">
      <w:pPr>
        <w:spacing w:line="240" w:lineRule="auto"/>
      </w:pPr>
      <w:r>
        <w:continuationSeparator/>
      </w:r>
    </w:p>
  </w:footnote>
  <w:footnote w:id="1">
    <w:p w:rsidR="00862DFA" w:rsidRDefault="00862D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A6E"/>
    <w:multiLevelType w:val="hybridMultilevel"/>
    <w:tmpl w:val="D1FA02DE"/>
    <w:lvl w:ilvl="0" w:tplc="EAFA0CE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E948D7"/>
    <w:multiLevelType w:val="hybridMultilevel"/>
    <w:tmpl w:val="3D08C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F70BEE"/>
    <w:multiLevelType w:val="hybridMultilevel"/>
    <w:tmpl w:val="27D2EAA8"/>
    <w:lvl w:ilvl="0" w:tplc="F288F65E">
      <w:start w:val="1"/>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D148EA"/>
    <w:multiLevelType w:val="hybridMultilevel"/>
    <w:tmpl w:val="E1F41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C7"/>
    <w:rsid w:val="00187B99"/>
    <w:rsid w:val="002014DD"/>
    <w:rsid w:val="002D5E17"/>
    <w:rsid w:val="00467B18"/>
    <w:rsid w:val="004D1217"/>
    <w:rsid w:val="004D6008"/>
    <w:rsid w:val="00640794"/>
    <w:rsid w:val="006D6641"/>
    <w:rsid w:val="006F1772"/>
    <w:rsid w:val="00862DFA"/>
    <w:rsid w:val="008942E7"/>
    <w:rsid w:val="008A1204"/>
    <w:rsid w:val="00900CCA"/>
    <w:rsid w:val="00924B77"/>
    <w:rsid w:val="00940DA2"/>
    <w:rsid w:val="009E055C"/>
    <w:rsid w:val="00A74F6F"/>
    <w:rsid w:val="00AD7557"/>
    <w:rsid w:val="00B50C5D"/>
    <w:rsid w:val="00B51253"/>
    <w:rsid w:val="00B525CC"/>
    <w:rsid w:val="00C267C7"/>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6641"/>
    <w:pPr>
      <w:tabs>
        <w:tab w:val="clear" w:pos="284"/>
      </w:tabs>
      <w:spacing w:line="360" w:lineRule="auto"/>
      <w:ind w:left="720"/>
      <w:contextualSpacing/>
      <w:jc w:val="left"/>
    </w:pPr>
    <w:rPr>
      <w:rFonts w:ascii="Garamond" w:eastAsiaTheme="minorHAnsi" w:hAnsi="Garamond" w:cs="Times New Roman (Corpo CS)"/>
      <w:sz w:val="24"/>
      <w:lang w:eastAsia="en-US"/>
    </w:rPr>
  </w:style>
  <w:style w:type="paragraph" w:customStyle="1" w:styleId="normalecorpodeltestoitaliano">
    <w:name w:val="normale corpo del testo italiano"/>
    <w:basedOn w:val="Normale"/>
    <w:qFormat/>
    <w:rsid w:val="006D6641"/>
    <w:pPr>
      <w:tabs>
        <w:tab w:val="clear" w:pos="284"/>
      </w:tabs>
      <w:spacing w:line="360" w:lineRule="auto"/>
    </w:pPr>
    <w:rPr>
      <w:rFonts w:ascii="Garamond" w:eastAsia="MS Mincho" w:hAnsi="Garamond"/>
      <w:sz w:val="24"/>
    </w:rPr>
  </w:style>
  <w:style w:type="character" w:customStyle="1" w:styleId="Testo1Carattere">
    <w:name w:val="Testo 1 Carattere"/>
    <w:link w:val="Testo1"/>
    <w:uiPriority w:val="99"/>
    <w:locked/>
    <w:rsid w:val="006D6641"/>
    <w:rPr>
      <w:rFonts w:ascii="Times" w:hAnsi="Times"/>
      <w:noProof/>
      <w:sz w:val="18"/>
    </w:rPr>
  </w:style>
  <w:style w:type="paragraph" w:customStyle="1" w:styleId="Citazionecorpodeltesto">
    <w:name w:val="Citazione corpo del testo"/>
    <w:next w:val="Normale"/>
    <w:qFormat/>
    <w:rsid w:val="00467B18"/>
    <w:pPr>
      <w:pBdr>
        <w:top w:val="nil"/>
        <w:left w:val="nil"/>
        <w:bottom w:val="nil"/>
        <w:right w:val="nil"/>
        <w:between w:val="nil"/>
        <w:bar w:val="nil"/>
      </w:pBdr>
      <w:spacing w:after="200"/>
      <w:ind w:firstLine="454"/>
      <w:jc w:val="both"/>
    </w:pPr>
    <w:rPr>
      <w:rFonts w:ascii="Garamond" w:eastAsia="Arial Unicode MS" w:hAnsi="Garamond" w:cs="Arial Unicode MS"/>
      <w:color w:val="000000"/>
      <w:sz w:val="22"/>
      <w:szCs w:val="22"/>
      <w:u w:color="000000"/>
      <w:bdr w:val="nil"/>
      <w:lang w:val="fr-FR"/>
    </w:rPr>
  </w:style>
  <w:style w:type="paragraph" w:styleId="Testonotaapidipagina">
    <w:name w:val="footnote text"/>
    <w:basedOn w:val="Normale"/>
    <w:link w:val="TestonotaapidipaginaCarattere"/>
    <w:rsid w:val="00862DFA"/>
    <w:pPr>
      <w:spacing w:line="240" w:lineRule="auto"/>
    </w:pPr>
    <w:rPr>
      <w:szCs w:val="20"/>
    </w:rPr>
  </w:style>
  <w:style w:type="character" w:customStyle="1" w:styleId="TestonotaapidipaginaCarattere">
    <w:name w:val="Testo nota a piè di pagina Carattere"/>
    <w:basedOn w:val="Carpredefinitoparagrafo"/>
    <w:link w:val="Testonotaapidipagina"/>
    <w:rsid w:val="00862DFA"/>
  </w:style>
  <w:style w:type="character" w:styleId="Rimandonotaapidipagina">
    <w:name w:val="footnote reference"/>
    <w:basedOn w:val="Carpredefinitoparagrafo"/>
    <w:rsid w:val="00862DFA"/>
    <w:rPr>
      <w:vertAlign w:val="superscript"/>
    </w:rPr>
  </w:style>
  <w:style w:type="character" w:styleId="Collegamentoipertestuale">
    <w:name w:val="Hyperlink"/>
    <w:basedOn w:val="Carpredefinitoparagrafo"/>
    <w:rsid w:val="00862D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6641"/>
    <w:pPr>
      <w:tabs>
        <w:tab w:val="clear" w:pos="284"/>
      </w:tabs>
      <w:spacing w:line="360" w:lineRule="auto"/>
      <w:ind w:left="720"/>
      <w:contextualSpacing/>
      <w:jc w:val="left"/>
    </w:pPr>
    <w:rPr>
      <w:rFonts w:ascii="Garamond" w:eastAsiaTheme="minorHAnsi" w:hAnsi="Garamond" w:cs="Times New Roman (Corpo CS)"/>
      <w:sz w:val="24"/>
      <w:lang w:eastAsia="en-US"/>
    </w:rPr>
  </w:style>
  <w:style w:type="paragraph" w:customStyle="1" w:styleId="normalecorpodeltestoitaliano">
    <w:name w:val="normale corpo del testo italiano"/>
    <w:basedOn w:val="Normale"/>
    <w:qFormat/>
    <w:rsid w:val="006D6641"/>
    <w:pPr>
      <w:tabs>
        <w:tab w:val="clear" w:pos="284"/>
      </w:tabs>
      <w:spacing w:line="360" w:lineRule="auto"/>
    </w:pPr>
    <w:rPr>
      <w:rFonts w:ascii="Garamond" w:eastAsia="MS Mincho" w:hAnsi="Garamond"/>
      <w:sz w:val="24"/>
    </w:rPr>
  </w:style>
  <w:style w:type="character" w:customStyle="1" w:styleId="Testo1Carattere">
    <w:name w:val="Testo 1 Carattere"/>
    <w:link w:val="Testo1"/>
    <w:uiPriority w:val="99"/>
    <w:locked/>
    <w:rsid w:val="006D6641"/>
    <w:rPr>
      <w:rFonts w:ascii="Times" w:hAnsi="Times"/>
      <w:noProof/>
      <w:sz w:val="18"/>
    </w:rPr>
  </w:style>
  <w:style w:type="paragraph" w:customStyle="1" w:styleId="Citazionecorpodeltesto">
    <w:name w:val="Citazione corpo del testo"/>
    <w:next w:val="Normale"/>
    <w:qFormat/>
    <w:rsid w:val="00467B18"/>
    <w:pPr>
      <w:pBdr>
        <w:top w:val="nil"/>
        <w:left w:val="nil"/>
        <w:bottom w:val="nil"/>
        <w:right w:val="nil"/>
        <w:between w:val="nil"/>
        <w:bar w:val="nil"/>
      </w:pBdr>
      <w:spacing w:after="200"/>
      <w:ind w:firstLine="454"/>
      <w:jc w:val="both"/>
    </w:pPr>
    <w:rPr>
      <w:rFonts w:ascii="Garamond" w:eastAsia="Arial Unicode MS" w:hAnsi="Garamond" w:cs="Arial Unicode MS"/>
      <w:color w:val="000000"/>
      <w:sz w:val="22"/>
      <w:szCs w:val="22"/>
      <w:u w:color="000000"/>
      <w:bdr w:val="nil"/>
      <w:lang w:val="fr-FR"/>
    </w:rPr>
  </w:style>
  <w:style w:type="paragraph" w:styleId="Testonotaapidipagina">
    <w:name w:val="footnote text"/>
    <w:basedOn w:val="Normale"/>
    <w:link w:val="TestonotaapidipaginaCarattere"/>
    <w:rsid w:val="00862DFA"/>
    <w:pPr>
      <w:spacing w:line="240" w:lineRule="auto"/>
    </w:pPr>
    <w:rPr>
      <w:szCs w:val="20"/>
    </w:rPr>
  </w:style>
  <w:style w:type="character" w:customStyle="1" w:styleId="TestonotaapidipaginaCarattere">
    <w:name w:val="Testo nota a piè di pagina Carattere"/>
    <w:basedOn w:val="Carpredefinitoparagrafo"/>
    <w:link w:val="Testonotaapidipagina"/>
    <w:rsid w:val="00862DFA"/>
  </w:style>
  <w:style w:type="character" w:styleId="Rimandonotaapidipagina">
    <w:name w:val="footnote reference"/>
    <w:basedOn w:val="Carpredefinitoparagrafo"/>
    <w:rsid w:val="00862DFA"/>
    <w:rPr>
      <w:vertAlign w:val="superscript"/>
    </w:rPr>
  </w:style>
  <w:style w:type="character" w:styleId="Collegamentoipertestuale">
    <w:name w:val="Hyperlink"/>
    <w:basedOn w:val="Carpredefinitoparagrafo"/>
    <w:rsid w:val="00862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iorentino-francesco/il-teatro-francese-del-seicento-9788842085669-1743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ommerat-joel/pinocchio-9782330048587-697119.html" TargetMode="External"/><Relationship Id="rId5" Type="http://schemas.openxmlformats.org/officeDocument/2006/relationships/settings" Target="settings.xml"/><Relationship Id="rId10" Type="http://schemas.openxmlformats.org/officeDocument/2006/relationships/hyperlink" Target="https://librerie.unicatt.it/scheda-libro/racine-j/iphigenie-9782070404797-260096.html" TargetMode="External"/><Relationship Id="rId4" Type="http://schemas.microsoft.com/office/2007/relationships/stylesWithEffects" Target="stylesWithEffects.xml"/><Relationship Id="rId9" Type="http://schemas.openxmlformats.org/officeDocument/2006/relationships/hyperlink" Target="https://librerie.unicatt.it/scheda-libro/racine-jean/ifigenia-9788831793704-17375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CD85-F7D7-4765-AFDA-54BF5254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720</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2021-05-18T11:17:00Z</dcterms:created>
  <dcterms:modified xsi:type="dcterms:W3CDTF">2021-07-15T09:36:00Z</dcterms:modified>
</cp:coreProperties>
</file>