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45" w:rsidRPr="00EA2F90" w:rsidRDefault="00902245" w:rsidP="004E1EC7">
      <w:pPr>
        <w:pStyle w:val="Titolo1"/>
        <w:spacing w:before="0"/>
      </w:pPr>
      <w:r w:rsidRPr="00EA2F90">
        <w:t>Istituzioni di regia</w:t>
      </w:r>
    </w:p>
    <w:p w:rsidR="00902245" w:rsidRPr="00EA2F90" w:rsidRDefault="00902245" w:rsidP="00902245">
      <w:pPr>
        <w:pStyle w:val="Titolo2"/>
      </w:pPr>
      <w:r w:rsidRPr="00EA2F90">
        <w:t>Prof. Gabriele Vacis</w:t>
      </w:r>
    </w:p>
    <w:p w:rsidR="004E1EC7" w:rsidRDefault="004E1EC7" w:rsidP="004E1EC7">
      <w:pPr>
        <w:spacing w:before="240" w:after="120" w:line="240" w:lineRule="atLeast"/>
        <w:rPr>
          <w:rFonts w:eastAsia="Times New Roman"/>
          <w:b/>
          <w:bCs/>
          <w:i/>
          <w:iCs/>
          <w:color w:val="000000"/>
          <w:sz w:val="18"/>
          <w:szCs w:val="18"/>
          <w:lang w:eastAsia="it-IT"/>
        </w:rPr>
      </w:pPr>
      <w:r>
        <w:rPr>
          <w:rFonts w:eastAsia="Times New Roman"/>
          <w:b/>
          <w:bCs/>
          <w:i/>
          <w:iCs/>
          <w:color w:val="000000"/>
          <w:sz w:val="18"/>
          <w:szCs w:val="18"/>
          <w:lang w:eastAsia="it-IT"/>
        </w:rPr>
        <w:t>OBIETTIVI DEL CORSO E RISULTATI DI APPRENDIMENTO ATTESI</w:t>
      </w:r>
    </w:p>
    <w:p w:rsidR="00902245" w:rsidRDefault="00902245" w:rsidP="00902245">
      <w:pPr>
        <w:spacing w:line="240" w:lineRule="exact"/>
        <w:rPr>
          <w:lang w:eastAsia="it-IT"/>
        </w:rPr>
      </w:pPr>
      <w:r w:rsidRPr="00EA2F90">
        <w:rPr>
          <w:lang w:eastAsia="it-IT"/>
        </w:rPr>
        <w:t xml:space="preserve">La regia teatrale, cinematografica, televisiva, sta subendo profonde trasformazioni. L’obiettivo del corso è cogliere le caratteristiche di un ruolo, il regista, </w:t>
      </w:r>
      <w:r>
        <w:rPr>
          <w:lang w:eastAsia="it-IT"/>
        </w:rPr>
        <w:t xml:space="preserve">in bilico tra spettacolo e </w:t>
      </w:r>
      <w:r w:rsidRPr="00EA2F90">
        <w:rPr>
          <w:lang w:eastAsia="it-IT"/>
        </w:rPr>
        <w:t>pratiche di inclusione sociale. Si forniranno, quindi, elementi storici, analitici, ma soprattutto concreti delle pratiche teatrali, cinemato</w:t>
      </w:r>
      <w:r>
        <w:rPr>
          <w:lang w:eastAsia="it-IT"/>
        </w:rPr>
        <w:t xml:space="preserve">grafiche, televisive, dall’intrattenimento </w:t>
      </w:r>
      <w:r w:rsidRPr="00EA2F90">
        <w:rPr>
          <w:lang w:eastAsia="it-IT"/>
        </w:rPr>
        <w:t>alla cura della persona.</w:t>
      </w:r>
    </w:p>
    <w:p w:rsidR="00902245" w:rsidRDefault="00902245" w:rsidP="00902245">
      <w:pPr>
        <w:spacing w:before="240" w:after="120" w:line="240" w:lineRule="exact"/>
        <w:rPr>
          <w:b/>
          <w:sz w:val="18"/>
          <w:lang w:eastAsia="it-IT"/>
        </w:rPr>
      </w:pPr>
      <w:r>
        <w:rPr>
          <w:b/>
          <w:i/>
          <w:sz w:val="18"/>
          <w:lang w:eastAsia="it-IT"/>
        </w:rPr>
        <w:t>PROGRAMMA DEL CORSO</w:t>
      </w:r>
    </w:p>
    <w:p w:rsidR="00902245" w:rsidRPr="00EA2F90" w:rsidRDefault="00902245" w:rsidP="00902245">
      <w:pPr>
        <w:spacing w:line="240" w:lineRule="exact"/>
        <w:rPr>
          <w:lang w:eastAsia="it-IT"/>
        </w:rPr>
      </w:pPr>
      <w:r w:rsidRPr="00EA2F90">
        <w:rPr>
          <w:lang w:eastAsia="it-IT"/>
        </w:rPr>
        <w:t>Lo spettacolo contemporaneo sta assumendo dimensioni impensabili fino a pochi anni fa. M</w:t>
      </w:r>
      <w:bookmarkStart w:id="0" w:name="_GoBack"/>
      <w:bookmarkEnd w:id="0"/>
      <w:r w:rsidRPr="00EA2F90">
        <w:rPr>
          <w:lang w:eastAsia="it-IT"/>
        </w:rPr>
        <w:t xml:space="preserve">a ci sono pratiche come il </w:t>
      </w:r>
      <w:proofErr w:type="spellStart"/>
      <w:r w:rsidRPr="00EA2F90">
        <w:rPr>
          <w:lang w:eastAsia="it-IT"/>
        </w:rPr>
        <w:t>parateatro</w:t>
      </w:r>
      <w:proofErr w:type="spellEnd"/>
      <w:r w:rsidRPr="00EA2F90">
        <w:rPr>
          <w:lang w:eastAsia="it-IT"/>
        </w:rPr>
        <w:t xml:space="preserve">, il teatro come servizio sociale, il teatro di comunità e di inclusione, che assumono dimensioni forse insperate dagli stessi maestri che li hanno fondati nel </w:t>
      </w:r>
      <w:proofErr w:type="gramStart"/>
      <w:r w:rsidRPr="00EA2F90">
        <w:rPr>
          <w:lang w:eastAsia="it-IT"/>
        </w:rPr>
        <w:t>novecento</w:t>
      </w:r>
      <w:proofErr w:type="gramEnd"/>
      <w:r w:rsidRPr="00EA2F90">
        <w:rPr>
          <w:lang w:eastAsia="it-IT"/>
        </w:rPr>
        <w:t>.</w:t>
      </w:r>
    </w:p>
    <w:p w:rsidR="00902245" w:rsidRPr="00EA2F90" w:rsidRDefault="00902245" w:rsidP="00902245">
      <w:pPr>
        <w:spacing w:line="240" w:lineRule="exact"/>
        <w:rPr>
          <w:lang w:eastAsia="it-IT"/>
        </w:rPr>
      </w:pPr>
      <w:r w:rsidRPr="00EA2F90">
        <w:rPr>
          <w:lang w:eastAsia="it-IT"/>
        </w:rPr>
        <w:t>Le tecnologie permettono uno sviluppo dell’</w:t>
      </w:r>
      <w:proofErr w:type="spellStart"/>
      <w:r w:rsidRPr="00EA2F90">
        <w:rPr>
          <w:lang w:eastAsia="it-IT"/>
        </w:rPr>
        <w:t>enterteinment</w:t>
      </w:r>
      <w:proofErr w:type="spellEnd"/>
      <w:r w:rsidRPr="00EA2F90">
        <w:rPr>
          <w:lang w:eastAsia="it-IT"/>
        </w:rPr>
        <w:t xml:space="preserve"> che coinvolge fisicamente lo spettatore. Mutano radicalmente i tempi e gli spazi dello spettacolo.</w:t>
      </w:r>
    </w:p>
    <w:p w:rsidR="00902245" w:rsidRPr="00EA2F90" w:rsidRDefault="00902245" w:rsidP="00902245">
      <w:pPr>
        <w:spacing w:line="240" w:lineRule="exact"/>
        <w:rPr>
          <w:lang w:eastAsia="it-IT"/>
        </w:rPr>
      </w:pPr>
      <w:r w:rsidRPr="00EA2F90">
        <w:rPr>
          <w:lang w:eastAsia="it-IT"/>
        </w:rPr>
        <w:t>Per contro il teatro, incalzato dalla tecnologia, può finalmente permettersi di abbandonare all’</w:t>
      </w:r>
      <w:proofErr w:type="spellStart"/>
      <w:r w:rsidRPr="00EA2F90">
        <w:rPr>
          <w:lang w:eastAsia="it-IT"/>
        </w:rPr>
        <w:t>enterteinment</w:t>
      </w:r>
      <w:proofErr w:type="spellEnd"/>
      <w:r w:rsidRPr="00EA2F90">
        <w:rPr>
          <w:lang w:eastAsia="it-IT"/>
        </w:rPr>
        <w:t xml:space="preserve"> i suoi caratteri più spettacolari per rivolgersi alla cura della persona.</w:t>
      </w:r>
    </w:p>
    <w:p w:rsidR="00902245" w:rsidRPr="00EA2F90" w:rsidRDefault="00902245" w:rsidP="00902245">
      <w:pPr>
        <w:spacing w:line="240" w:lineRule="exact"/>
        <w:rPr>
          <w:lang w:eastAsia="it-IT"/>
        </w:rPr>
      </w:pPr>
      <w:r w:rsidRPr="00EA2F90">
        <w:rPr>
          <w:lang w:eastAsia="it-IT"/>
        </w:rPr>
        <w:t>Oggi c’è molta più gente che fa teatro, che danza, che produce cinema e televisione di quanta non vada a vederli teatro, dan</w:t>
      </w:r>
      <w:r>
        <w:rPr>
          <w:lang w:eastAsia="it-IT"/>
        </w:rPr>
        <w:t xml:space="preserve">za, cinema e televisione. </w:t>
      </w:r>
      <w:r w:rsidRPr="00EA2F90">
        <w:rPr>
          <w:lang w:eastAsia="it-IT"/>
        </w:rPr>
        <w:t>Gli ultimi decenni di ricerca hanno utilizzato le tecniche del teatro per l’integrazione dei disabili, per la narrazione medica, per il recupero delle periferie disagiate… Il lavoro dei più significativi artisti contemporanei non percepisce più l’azione sociale come un dovere ideologico o una caritatevole elargizione. L’inclusione è ormai la poetica di molti tra gli attori, registi, drammaturghi più innovativi.</w:t>
      </w:r>
    </w:p>
    <w:p w:rsidR="00902245" w:rsidRPr="00EA2F90" w:rsidRDefault="00902245" w:rsidP="00902245">
      <w:pPr>
        <w:spacing w:line="240" w:lineRule="exact"/>
        <w:rPr>
          <w:lang w:eastAsia="it-IT"/>
        </w:rPr>
      </w:pPr>
      <w:r w:rsidRPr="00EA2F90">
        <w:rPr>
          <w:lang w:eastAsia="it-IT"/>
        </w:rPr>
        <w:t>Questa realtà comporta un mutamento radicale delle figure stesse dell’attore, del regista e del drammaturgo. Un loro ripensamento profondo.</w:t>
      </w:r>
    </w:p>
    <w:p w:rsidR="00902245" w:rsidRPr="00EA2F90" w:rsidRDefault="00902245" w:rsidP="00902245">
      <w:pPr>
        <w:spacing w:line="240" w:lineRule="exact"/>
        <w:rPr>
          <w:lang w:eastAsia="it-IT"/>
        </w:rPr>
      </w:pPr>
      <w:r w:rsidRPr="00EA2F90">
        <w:rPr>
          <w:lang w:eastAsia="it-IT"/>
        </w:rPr>
        <w:t xml:space="preserve">Naturalmente </w:t>
      </w:r>
      <w:r>
        <w:rPr>
          <w:lang w:eastAsia="it-IT"/>
        </w:rPr>
        <w:t>non bisogna cadere nell’equivoco</w:t>
      </w:r>
      <w:r w:rsidRPr="00EA2F90">
        <w:rPr>
          <w:lang w:eastAsia="it-IT"/>
        </w:rPr>
        <w:t>: se tutti possiamo fare il teat</w:t>
      </w:r>
      <w:r>
        <w:rPr>
          <w:lang w:eastAsia="it-IT"/>
        </w:rPr>
        <w:t xml:space="preserve">ro non servono più gli artisti, </w:t>
      </w:r>
      <w:r w:rsidRPr="00EA2F90">
        <w:rPr>
          <w:lang w:eastAsia="it-IT"/>
        </w:rPr>
        <w:t xml:space="preserve">siamo tutti artisti. Non è così. La bellezza nuova nasce dalla comprensione di artisti e persone. E questo vale sia per il grande </w:t>
      </w:r>
      <w:proofErr w:type="spellStart"/>
      <w:r w:rsidRPr="00EA2F90">
        <w:rPr>
          <w:lang w:eastAsia="it-IT"/>
        </w:rPr>
        <w:t>enterteinment</w:t>
      </w:r>
      <w:proofErr w:type="spellEnd"/>
      <w:r w:rsidRPr="00EA2F90">
        <w:rPr>
          <w:lang w:eastAsia="it-IT"/>
        </w:rPr>
        <w:t xml:space="preserve"> che impiega migliaia di figuranti in scena, sia </w:t>
      </w:r>
      <w:r>
        <w:rPr>
          <w:lang w:eastAsia="it-IT"/>
        </w:rPr>
        <w:t xml:space="preserve">per le esperienze di </w:t>
      </w:r>
      <w:r w:rsidRPr="00EA2F90">
        <w:rPr>
          <w:lang w:eastAsia="it-IT"/>
        </w:rPr>
        <w:t>inclusione sociale e di teatro di comunità.</w:t>
      </w:r>
    </w:p>
    <w:p w:rsidR="00902245" w:rsidRPr="00EA2F90" w:rsidRDefault="00902245" w:rsidP="00902245">
      <w:pPr>
        <w:spacing w:line="240" w:lineRule="exact"/>
        <w:rPr>
          <w:lang w:eastAsia="it-IT"/>
        </w:rPr>
      </w:pPr>
      <w:r w:rsidRPr="00EA2F90">
        <w:rPr>
          <w:lang w:eastAsia="it-IT"/>
        </w:rPr>
        <w:t xml:space="preserve">Il corso percorrerà le radici storiche dell’idea di pratiche teatrali al servizio della persona con particolare riferimento a </w:t>
      </w:r>
      <w:proofErr w:type="spellStart"/>
      <w:r w:rsidRPr="00EA2F90">
        <w:rPr>
          <w:lang w:eastAsia="it-IT"/>
        </w:rPr>
        <w:t>Jerzi</w:t>
      </w:r>
      <w:proofErr w:type="spellEnd"/>
      <w:r w:rsidRPr="00EA2F90">
        <w:rPr>
          <w:lang w:eastAsia="it-IT"/>
        </w:rPr>
        <w:t xml:space="preserve"> </w:t>
      </w:r>
      <w:proofErr w:type="spellStart"/>
      <w:r w:rsidRPr="00EA2F90">
        <w:rPr>
          <w:lang w:eastAsia="it-IT"/>
        </w:rPr>
        <w:t>Grotowski</w:t>
      </w:r>
      <w:proofErr w:type="spellEnd"/>
      <w:r w:rsidRPr="00EA2F90">
        <w:rPr>
          <w:lang w:eastAsia="it-IT"/>
        </w:rPr>
        <w:t>.</w:t>
      </w:r>
    </w:p>
    <w:p w:rsidR="00902245" w:rsidRPr="00EA2F90" w:rsidRDefault="00902245" w:rsidP="00902245">
      <w:pPr>
        <w:spacing w:line="240" w:lineRule="exact"/>
        <w:rPr>
          <w:lang w:eastAsia="it-IT"/>
        </w:rPr>
      </w:pPr>
      <w:r w:rsidRPr="00EA2F90">
        <w:rPr>
          <w:lang w:eastAsia="it-IT"/>
        </w:rPr>
        <w:t>Comparativamente si analizzeranno esempi di entertainment con particolare riferimento alle cerimonie olimpiche.</w:t>
      </w:r>
    </w:p>
    <w:p w:rsidR="00902245" w:rsidRPr="00EA2F90" w:rsidRDefault="00902245" w:rsidP="00902245">
      <w:pPr>
        <w:spacing w:line="240" w:lineRule="exact"/>
        <w:rPr>
          <w:lang w:eastAsia="it-IT"/>
        </w:rPr>
      </w:pPr>
      <w:r w:rsidRPr="00EA2F90">
        <w:rPr>
          <w:lang w:eastAsia="it-IT"/>
        </w:rPr>
        <w:t>I percorsi paralleli evidenzieranno i diversi livelli di coinvolgimento degli spettatori.</w:t>
      </w:r>
    </w:p>
    <w:p w:rsidR="00902245" w:rsidRPr="00EA2F90" w:rsidRDefault="00902245" w:rsidP="00902245">
      <w:pPr>
        <w:spacing w:line="240" w:lineRule="exact"/>
        <w:rPr>
          <w:lang w:eastAsia="it-IT"/>
        </w:rPr>
      </w:pPr>
      <w:r w:rsidRPr="00EA2F90">
        <w:rPr>
          <w:lang w:eastAsia="it-IT"/>
        </w:rPr>
        <w:lastRenderedPageBreak/>
        <w:t>Si studieranno quindi metodi di approccio e allenamento all’attenzione, alla consapevolezza di derivazione teatrale, indirizzati alla loro applicazione in vari contesti.</w:t>
      </w:r>
    </w:p>
    <w:p w:rsidR="00902245" w:rsidRPr="006B229B" w:rsidRDefault="00902245" w:rsidP="00902245">
      <w:pPr>
        <w:spacing w:before="240" w:after="120" w:line="220" w:lineRule="exact"/>
        <w:rPr>
          <w:b/>
          <w:i/>
          <w:sz w:val="18"/>
        </w:rPr>
      </w:pPr>
      <w:r>
        <w:rPr>
          <w:b/>
          <w:i/>
          <w:sz w:val="18"/>
        </w:rPr>
        <w:t>BIBLIOGRAFIA</w:t>
      </w:r>
      <w:r>
        <w:rPr>
          <w:rStyle w:val="Rimandonotaapidipagina"/>
          <w:b/>
          <w:i/>
          <w:sz w:val="18"/>
        </w:rPr>
        <w:footnoteReference w:id="1"/>
      </w:r>
    </w:p>
    <w:p w:rsidR="00902245" w:rsidRPr="00EA2F90" w:rsidRDefault="00902245" w:rsidP="00902245">
      <w:pPr>
        <w:pStyle w:val="Testo1"/>
        <w:spacing w:line="240" w:lineRule="atLeast"/>
        <w:rPr>
          <w:spacing w:val="-5"/>
        </w:rPr>
      </w:pPr>
      <w:r w:rsidRPr="00EA2F90">
        <w:rPr>
          <w:smallCaps/>
          <w:spacing w:val="-5"/>
          <w:sz w:val="16"/>
        </w:rPr>
        <w:t>J</w:t>
      </w:r>
      <w:r>
        <w:rPr>
          <w:smallCaps/>
          <w:spacing w:val="-5"/>
          <w:sz w:val="16"/>
        </w:rPr>
        <w:t>.</w:t>
      </w:r>
      <w:r w:rsidRPr="00EA2F90">
        <w:rPr>
          <w:smallCaps/>
          <w:spacing w:val="-5"/>
          <w:sz w:val="16"/>
        </w:rPr>
        <w:t xml:space="preserve"> Grotowski,</w:t>
      </w:r>
      <w:r w:rsidRPr="00EA2F90">
        <w:rPr>
          <w:i/>
          <w:spacing w:val="-5"/>
        </w:rPr>
        <w:t xml:space="preserve"> Per un teatro povero,</w:t>
      </w:r>
      <w:r w:rsidRPr="00EA2F90">
        <w:rPr>
          <w:spacing w:val="-5"/>
        </w:rPr>
        <w:t xml:space="preserve"> Bulzoni Editore.</w:t>
      </w:r>
    </w:p>
    <w:p w:rsidR="00902245" w:rsidRPr="00EA2F90" w:rsidRDefault="00902245" w:rsidP="00902245">
      <w:pPr>
        <w:pStyle w:val="Testo1"/>
        <w:spacing w:line="240" w:lineRule="atLeast"/>
        <w:rPr>
          <w:spacing w:val="-5"/>
        </w:rPr>
      </w:pPr>
      <w:r w:rsidRPr="00EA2F90">
        <w:rPr>
          <w:smallCaps/>
          <w:spacing w:val="-5"/>
          <w:sz w:val="16"/>
        </w:rPr>
        <w:t>A. Pontremoli,</w:t>
      </w:r>
      <w:r w:rsidRPr="00EA2F90">
        <w:rPr>
          <w:i/>
          <w:spacing w:val="-5"/>
        </w:rPr>
        <w:t xml:space="preserve"> Elementi di teatro educativo,</w:t>
      </w:r>
      <w:r w:rsidRPr="00EA2F90">
        <w:rPr>
          <w:spacing w:val="-5"/>
        </w:rPr>
        <w:t xml:space="preserve"> </w:t>
      </w:r>
      <w:r w:rsidRPr="000E233F">
        <w:rPr>
          <w:i/>
          <w:spacing w:val="-5"/>
        </w:rPr>
        <w:t>sociale e di comunità</w:t>
      </w:r>
      <w:r w:rsidRPr="00EA2F90">
        <w:rPr>
          <w:spacing w:val="-5"/>
        </w:rPr>
        <w:t>, UTET Editore.</w:t>
      </w:r>
      <w:r w:rsidR="00DB1CF2">
        <w:rPr>
          <w:spacing w:val="-5"/>
        </w:rPr>
        <w:t xml:space="preserve"> </w:t>
      </w:r>
      <w:hyperlink r:id="rId6" w:history="1">
        <w:r w:rsidR="00DB1CF2" w:rsidRPr="00DB1CF2">
          <w:rPr>
            <w:rStyle w:val="Collegamentoipertestuale"/>
            <w:rFonts w:ascii="Times New Roman" w:hAnsi="Times New Roman"/>
            <w:i/>
            <w:sz w:val="16"/>
            <w:szCs w:val="16"/>
          </w:rPr>
          <w:t>Acquista da VP</w:t>
        </w:r>
      </w:hyperlink>
    </w:p>
    <w:p w:rsidR="00902245" w:rsidRPr="00EA2F90" w:rsidRDefault="00902245" w:rsidP="00902245">
      <w:pPr>
        <w:pStyle w:val="Testo1"/>
        <w:spacing w:line="240" w:lineRule="atLeast"/>
        <w:rPr>
          <w:spacing w:val="-5"/>
        </w:rPr>
      </w:pPr>
      <w:r w:rsidRPr="00EA2F90">
        <w:rPr>
          <w:smallCaps/>
          <w:spacing w:val="-5"/>
          <w:sz w:val="16"/>
        </w:rPr>
        <w:t>C. Bernardi,</w:t>
      </w:r>
      <w:r w:rsidRPr="00EA2F90">
        <w:rPr>
          <w:i/>
          <w:spacing w:val="-5"/>
        </w:rPr>
        <w:t xml:space="preserve"> Il teatro sociale: l’Arte tra disagio e cura,</w:t>
      </w:r>
      <w:r w:rsidRPr="00EA2F90">
        <w:rPr>
          <w:spacing w:val="-5"/>
        </w:rPr>
        <w:t xml:space="preserve"> Carocci Editore.</w:t>
      </w:r>
      <w:r>
        <w:rPr>
          <w:spacing w:val="-5"/>
        </w:rPr>
        <w:t xml:space="preserve"> </w:t>
      </w:r>
      <w:hyperlink r:id="rId7" w:history="1">
        <w:r w:rsidRPr="00B94C12">
          <w:rPr>
            <w:rStyle w:val="Collegamentoipertestuale"/>
            <w:rFonts w:ascii="Times New Roman" w:hAnsi="Times New Roman"/>
            <w:i/>
            <w:sz w:val="16"/>
            <w:szCs w:val="16"/>
          </w:rPr>
          <w:t>Acquista da VP</w:t>
        </w:r>
      </w:hyperlink>
    </w:p>
    <w:p w:rsidR="00902245" w:rsidRPr="00993302" w:rsidRDefault="00902245" w:rsidP="00902245">
      <w:pPr>
        <w:pStyle w:val="Testo1"/>
        <w:spacing w:line="240" w:lineRule="atLeast"/>
        <w:rPr>
          <w:spacing w:val="-5"/>
        </w:rPr>
      </w:pPr>
      <w:r w:rsidRPr="00993302">
        <w:rPr>
          <w:smallCaps/>
          <w:spacing w:val="-5"/>
          <w:sz w:val="16"/>
        </w:rPr>
        <w:t>G. Vacis,</w:t>
      </w:r>
      <w:r w:rsidRPr="00993302">
        <w:rPr>
          <w:i/>
          <w:spacing w:val="-5"/>
        </w:rPr>
        <w:t xml:space="preserve"> Awareness,</w:t>
      </w:r>
      <w:r w:rsidRPr="00993302">
        <w:rPr>
          <w:spacing w:val="-5"/>
        </w:rPr>
        <w:t xml:space="preserve"> Bulzoni Editore.</w:t>
      </w:r>
    </w:p>
    <w:p w:rsidR="00902245" w:rsidRDefault="00902245" w:rsidP="00902245">
      <w:pPr>
        <w:spacing w:before="240" w:after="120" w:line="220" w:lineRule="exact"/>
        <w:rPr>
          <w:b/>
          <w:i/>
          <w:sz w:val="18"/>
        </w:rPr>
      </w:pPr>
      <w:r>
        <w:rPr>
          <w:b/>
          <w:i/>
          <w:sz w:val="18"/>
        </w:rPr>
        <w:t>DIDATTICA DEL CORSO</w:t>
      </w:r>
    </w:p>
    <w:p w:rsidR="00902245" w:rsidRPr="00EA2F90" w:rsidRDefault="00902245" w:rsidP="00902245">
      <w:pPr>
        <w:pStyle w:val="Testo2"/>
      </w:pPr>
      <w:r w:rsidRPr="00EA2F90">
        <w:t>Oltre alle lezioni frontali il corso ospiterà protagonisti delle esperienze considerate ed esercitazioni pratiche.</w:t>
      </w:r>
      <w:r>
        <w:t xml:space="preserve"> Gli studenti produrranno progetti di messinscena e di percorsi d’inclusione. Dopo l’esperienza praticata durante il periodo di lockdown, compatibilmente con ledisposizioni in materia sanitaria, potranno esserci lezioni ed esercitazioni online.</w:t>
      </w:r>
    </w:p>
    <w:p w:rsidR="004E1EC7" w:rsidRDefault="004E1EC7" w:rsidP="004E1EC7">
      <w:pPr>
        <w:spacing w:before="240" w:after="120" w:line="220" w:lineRule="atLeast"/>
        <w:rPr>
          <w:rFonts w:eastAsia="Times New Roman"/>
          <w:color w:val="000000"/>
          <w:sz w:val="18"/>
          <w:szCs w:val="18"/>
          <w:lang w:eastAsia="it-IT"/>
        </w:rPr>
      </w:pPr>
      <w:r>
        <w:rPr>
          <w:rFonts w:eastAsia="Times New Roman"/>
          <w:b/>
          <w:bCs/>
          <w:i/>
          <w:iCs/>
          <w:color w:val="000000"/>
          <w:sz w:val="18"/>
          <w:szCs w:val="18"/>
          <w:lang w:eastAsia="it-IT"/>
        </w:rPr>
        <w:t>METODO E CRITERI DI VALUTAZIONE</w:t>
      </w:r>
    </w:p>
    <w:p w:rsidR="00902245" w:rsidRPr="00EA2F90" w:rsidRDefault="00902245" w:rsidP="00902245">
      <w:pPr>
        <w:pStyle w:val="Testo2"/>
      </w:pPr>
      <w:r w:rsidRPr="00EA2F90">
        <w:t>Sarà valutata la qualità della presenza alle lezioni attraverso la partecipazione alle sollecitazioni che saranno fornite.</w:t>
      </w:r>
    </w:p>
    <w:p w:rsidR="00902245" w:rsidRDefault="00902245" w:rsidP="00902245">
      <w:pPr>
        <w:pStyle w:val="Testo2"/>
      </w:pPr>
      <w:r w:rsidRPr="00EA2F90">
        <w:t xml:space="preserve">I risultati saranno verificati attraverso </w:t>
      </w:r>
      <w:r>
        <w:t xml:space="preserve">l’analisi dei progetti realizzati e </w:t>
      </w:r>
      <w:r w:rsidRPr="00EA2F90">
        <w:t>test sulla capacità di conduzione di situazioni reali di applicazione di pratiche teatrali alla cura della persona.</w:t>
      </w:r>
    </w:p>
    <w:p w:rsidR="004E1EC7" w:rsidRDefault="004E1EC7" w:rsidP="004E1EC7">
      <w:pPr>
        <w:spacing w:before="240" w:after="120" w:line="240" w:lineRule="atLeast"/>
        <w:rPr>
          <w:rFonts w:eastAsia="Times New Roman"/>
          <w:color w:val="000000"/>
          <w:sz w:val="18"/>
          <w:szCs w:val="18"/>
          <w:lang w:eastAsia="it-IT"/>
        </w:rPr>
      </w:pPr>
      <w:r>
        <w:rPr>
          <w:rFonts w:eastAsia="Times New Roman"/>
          <w:b/>
          <w:bCs/>
          <w:i/>
          <w:iCs/>
          <w:color w:val="000000"/>
          <w:sz w:val="18"/>
          <w:szCs w:val="18"/>
          <w:lang w:eastAsia="it-IT"/>
        </w:rPr>
        <w:t>AVVERTENZE E PREREQUISITI</w:t>
      </w:r>
    </w:p>
    <w:p w:rsidR="004E1EC7" w:rsidRDefault="004E1EC7" w:rsidP="004E1EC7">
      <w:pPr>
        <w:pStyle w:val="NormaleWeb"/>
        <w:spacing w:before="120" w:beforeAutospacing="0" w:after="0" w:afterAutospacing="0"/>
        <w:ind w:firstLine="284"/>
        <w:jc w:val="both"/>
        <w:rPr>
          <w:sz w:val="18"/>
          <w:szCs w:val="18"/>
        </w:rPr>
      </w:pPr>
      <w:r>
        <w:rPr>
          <w:rFonts w:ascii="Times" w:hAnsi="Times" w:cs="Times"/>
          <w:sz w:val="18"/>
          <w:szCs w:val="18"/>
        </w:rPr>
        <w:t>COVID-19</w:t>
      </w:r>
    </w:p>
    <w:p w:rsidR="004E1EC7" w:rsidRDefault="004E1EC7" w:rsidP="004E1EC7">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4E1EC7" w:rsidRDefault="004E1EC7" w:rsidP="004E1EC7">
      <w:pPr>
        <w:spacing w:line="220" w:lineRule="atLeast"/>
        <w:ind w:firstLine="284"/>
        <w:rPr>
          <w:rFonts w:ascii="Times" w:eastAsia="Times New Roman" w:hAnsi="Times" w:cs="Times"/>
          <w:i/>
          <w:iCs/>
          <w:color w:val="000000"/>
          <w:sz w:val="18"/>
          <w:szCs w:val="18"/>
          <w:lang w:eastAsia="it-IT"/>
        </w:rPr>
      </w:pPr>
    </w:p>
    <w:p w:rsidR="004E1EC7" w:rsidRDefault="004E1EC7" w:rsidP="004E1EC7">
      <w:pPr>
        <w:spacing w:line="220" w:lineRule="atLeast"/>
        <w:ind w:firstLine="284"/>
        <w:rPr>
          <w:rFonts w:ascii="Times" w:eastAsia="Times New Roman" w:hAnsi="Times" w:cs="Times"/>
          <w:color w:val="000000"/>
          <w:sz w:val="18"/>
          <w:szCs w:val="18"/>
          <w:lang w:eastAsia="it-IT"/>
        </w:rPr>
      </w:pPr>
      <w:r>
        <w:rPr>
          <w:rFonts w:ascii="Times" w:eastAsia="Times New Roman" w:hAnsi="Times" w:cs="Times"/>
          <w:i/>
          <w:iCs/>
          <w:color w:val="000000"/>
          <w:sz w:val="18"/>
          <w:szCs w:val="18"/>
          <w:lang w:eastAsia="it-IT"/>
        </w:rPr>
        <w:t>Orario e luogo di ricevimento degli studenti</w:t>
      </w:r>
    </w:p>
    <w:p w:rsidR="00902245" w:rsidRPr="00EA2F90" w:rsidRDefault="00902245" w:rsidP="00902245">
      <w:pPr>
        <w:pStyle w:val="Testo2"/>
      </w:pPr>
      <w:r w:rsidRPr="00EA2F90">
        <w:t>Il Prof. Gabriele Vacis comunicherà a lezione orario e luogo di ricevimento degli studenti.</w:t>
      </w:r>
    </w:p>
    <w:p w:rsidR="004E6529" w:rsidRDefault="004E6529"/>
    <w:sectPr w:rsidR="004E6529" w:rsidSect="0090224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45" w:rsidRDefault="00902245" w:rsidP="00902245">
      <w:pPr>
        <w:spacing w:line="240" w:lineRule="auto"/>
      </w:pPr>
      <w:r>
        <w:separator/>
      </w:r>
    </w:p>
  </w:endnote>
  <w:endnote w:type="continuationSeparator" w:id="0">
    <w:p w:rsidR="00902245" w:rsidRDefault="00902245" w:rsidP="0090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45" w:rsidRDefault="00902245" w:rsidP="00902245">
      <w:pPr>
        <w:spacing w:line="240" w:lineRule="auto"/>
      </w:pPr>
      <w:r>
        <w:separator/>
      </w:r>
    </w:p>
  </w:footnote>
  <w:footnote w:type="continuationSeparator" w:id="0">
    <w:p w:rsidR="00902245" w:rsidRDefault="00902245" w:rsidP="00902245">
      <w:pPr>
        <w:spacing w:line="240" w:lineRule="auto"/>
      </w:pPr>
      <w:r>
        <w:continuationSeparator/>
      </w:r>
    </w:p>
  </w:footnote>
  <w:footnote w:id="1">
    <w:p w:rsidR="00902245" w:rsidRPr="00993302" w:rsidRDefault="00902245" w:rsidP="00902245">
      <w:pPr>
        <w:spacing w:line="240" w:lineRule="auto"/>
        <w:rPr>
          <w:rFonts w:eastAsiaTheme="minorHAnsi"/>
          <w:sz w:val="16"/>
          <w:szCs w:val="16"/>
        </w:rPr>
      </w:pPr>
      <w:r>
        <w:rPr>
          <w:rStyle w:val="Rimandonotaapidipagina"/>
        </w:rPr>
        <w:footnoteRef/>
      </w:r>
      <w:r>
        <w:t xml:space="preserve"> </w:t>
      </w:r>
      <w:r w:rsidRPr="00993302">
        <w:rPr>
          <w:rFonts w:eastAsiaTheme="minorHAnsi"/>
          <w:sz w:val="16"/>
          <w:szCs w:val="16"/>
        </w:rPr>
        <w:t xml:space="preserve">I testi indicati nella bibliografia sono acquistabili presso le librerie di Ateneo; è possibile acquistarli anche presso altri rivenditori. </w:t>
      </w:r>
    </w:p>
    <w:p w:rsidR="00902245" w:rsidRDefault="00902245" w:rsidP="0090224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45"/>
    <w:rsid w:val="004E1EC7"/>
    <w:rsid w:val="004E6529"/>
    <w:rsid w:val="00586CD7"/>
    <w:rsid w:val="00737300"/>
    <w:rsid w:val="007F6C14"/>
    <w:rsid w:val="00902245"/>
    <w:rsid w:val="009109EA"/>
    <w:rsid w:val="00DB1C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6FD7531-B92D-4C7A-A078-5C80738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245"/>
    <w:pPr>
      <w:spacing w:line="276" w:lineRule="auto"/>
      <w:jc w:val="both"/>
    </w:pPr>
    <w:rPr>
      <w:rFonts w:ascii="Times New Roman" w:eastAsia="Calibri" w:hAnsi="Times New Roman" w:cs="Times New Roman"/>
      <w:sz w:val="20"/>
      <w:szCs w:val="22"/>
      <w:lang w:eastAsia="en-US"/>
    </w:rPr>
  </w:style>
  <w:style w:type="paragraph" w:styleId="Titolo1">
    <w:name w:val="heading 1"/>
    <w:next w:val="Titolo2"/>
    <w:link w:val="Titolo1Carattere"/>
    <w:qFormat/>
    <w:rsid w:val="00902245"/>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902245"/>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90224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2245"/>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902245"/>
    <w:rPr>
      <w:rFonts w:ascii="Times" w:eastAsia="Times New Roman" w:hAnsi="Times" w:cs="Times New Roman"/>
      <w:smallCaps/>
      <w:noProof/>
      <w:sz w:val="18"/>
      <w:szCs w:val="20"/>
    </w:rPr>
  </w:style>
  <w:style w:type="paragraph" w:customStyle="1" w:styleId="Testo1">
    <w:name w:val="Testo 1"/>
    <w:rsid w:val="00902245"/>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902245"/>
    <w:pPr>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nhideWhenUsed/>
    <w:rsid w:val="00902245"/>
    <w:rPr>
      <w:color w:val="0000FF" w:themeColor="hyperlink"/>
      <w:u w:val="single"/>
    </w:rPr>
  </w:style>
  <w:style w:type="paragraph" w:styleId="Testonotaapidipagina">
    <w:name w:val="footnote text"/>
    <w:basedOn w:val="Normale"/>
    <w:link w:val="TestonotaapidipaginaCarattere"/>
    <w:semiHidden/>
    <w:unhideWhenUsed/>
    <w:rsid w:val="009022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02245"/>
    <w:rPr>
      <w:rFonts w:ascii="Times New Roman" w:eastAsia="Calibri" w:hAnsi="Times New Roman" w:cs="Times New Roman"/>
      <w:sz w:val="20"/>
      <w:szCs w:val="20"/>
      <w:lang w:eastAsia="en-US"/>
    </w:rPr>
  </w:style>
  <w:style w:type="character" w:styleId="Rimandonotaapidipagina">
    <w:name w:val="footnote reference"/>
    <w:basedOn w:val="Carpredefinitoparagrafo"/>
    <w:semiHidden/>
    <w:unhideWhenUsed/>
    <w:rsid w:val="00902245"/>
    <w:rPr>
      <w:vertAlign w:val="superscript"/>
    </w:rPr>
  </w:style>
  <w:style w:type="character" w:customStyle="1" w:styleId="Titolo3Carattere">
    <w:name w:val="Titolo 3 Carattere"/>
    <w:basedOn w:val="Carpredefinitoparagrafo"/>
    <w:link w:val="Titolo3"/>
    <w:uiPriority w:val="9"/>
    <w:semiHidden/>
    <w:rsid w:val="00902245"/>
    <w:rPr>
      <w:rFonts w:asciiTheme="majorHAnsi" w:eastAsiaTheme="majorEastAsia" w:hAnsiTheme="majorHAnsi" w:cstheme="majorBidi"/>
      <w:b/>
      <w:bCs/>
      <w:color w:val="4F81BD" w:themeColor="accent1"/>
      <w:sz w:val="20"/>
      <w:szCs w:val="22"/>
      <w:lang w:eastAsia="en-US"/>
    </w:rPr>
  </w:style>
  <w:style w:type="paragraph" w:styleId="NormaleWeb">
    <w:name w:val="Normal (Web)"/>
    <w:basedOn w:val="Normale"/>
    <w:uiPriority w:val="99"/>
    <w:semiHidden/>
    <w:unhideWhenUsed/>
    <w:rsid w:val="004E1EC7"/>
    <w:pPr>
      <w:spacing w:before="100" w:beforeAutospacing="1" w:after="100" w:afterAutospacing="1" w:line="240" w:lineRule="auto"/>
      <w:jc w:val="left"/>
    </w:pPr>
    <w:rPr>
      <w:rFonts w:eastAsia="Times New Roman"/>
      <w:sz w:val="24"/>
      <w:szCs w:val="24"/>
      <w:lang w:eastAsia="it-IT"/>
    </w:rPr>
  </w:style>
  <w:style w:type="character" w:styleId="Collegamentovisitato">
    <w:name w:val="FollowedHyperlink"/>
    <w:basedOn w:val="Carpredefinitoparagrafo"/>
    <w:uiPriority w:val="99"/>
    <w:semiHidden/>
    <w:unhideWhenUsed/>
    <w:rsid w:val="00DB1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477">
      <w:bodyDiv w:val="1"/>
      <w:marLeft w:val="0"/>
      <w:marRight w:val="0"/>
      <w:marTop w:val="0"/>
      <w:marBottom w:val="0"/>
      <w:divBdr>
        <w:top w:val="none" w:sz="0" w:space="0" w:color="auto"/>
        <w:left w:val="none" w:sz="0" w:space="0" w:color="auto"/>
        <w:bottom w:val="none" w:sz="0" w:space="0" w:color="auto"/>
        <w:right w:val="none" w:sz="0" w:space="0" w:color="auto"/>
      </w:divBdr>
    </w:div>
    <w:div w:id="439378349">
      <w:bodyDiv w:val="1"/>
      <w:marLeft w:val="0"/>
      <w:marRight w:val="0"/>
      <w:marTop w:val="0"/>
      <w:marBottom w:val="0"/>
      <w:divBdr>
        <w:top w:val="none" w:sz="0" w:space="0" w:color="auto"/>
        <w:left w:val="none" w:sz="0" w:space="0" w:color="auto"/>
        <w:bottom w:val="none" w:sz="0" w:space="0" w:color="auto"/>
        <w:right w:val="none" w:sz="0" w:space="0" w:color="auto"/>
      </w:divBdr>
    </w:div>
    <w:div w:id="766266694">
      <w:bodyDiv w:val="1"/>
      <w:marLeft w:val="0"/>
      <w:marRight w:val="0"/>
      <w:marTop w:val="0"/>
      <w:marBottom w:val="0"/>
      <w:divBdr>
        <w:top w:val="none" w:sz="0" w:space="0" w:color="auto"/>
        <w:left w:val="none" w:sz="0" w:space="0" w:color="auto"/>
        <w:bottom w:val="none" w:sz="0" w:space="0" w:color="auto"/>
        <w:right w:val="none" w:sz="0" w:space="0" w:color="auto"/>
      </w:divBdr>
    </w:div>
    <w:div w:id="1600795353">
      <w:bodyDiv w:val="1"/>
      <w:marLeft w:val="0"/>
      <w:marRight w:val="0"/>
      <w:marTop w:val="0"/>
      <w:marBottom w:val="0"/>
      <w:divBdr>
        <w:top w:val="none" w:sz="0" w:space="0" w:color="auto"/>
        <w:left w:val="none" w:sz="0" w:space="0" w:color="auto"/>
        <w:bottom w:val="none" w:sz="0" w:space="0" w:color="auto"/>
        <w:right w:val="none" w:sz="0" w:space="0" w:color="auto"/>
      </w:divBdr>
    </w:div>
    <w:div w:id="188221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a.vitaepensiero.it/scheda-libro/bernardi-claudio/il-teatro-sociale-9788843030569-17448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alessandro-pontremoli/elementi-di-teatro-educativo-sociale-e-di-comunita-9788860084422-52761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Paoluzzi Cristiano</cp:lastModifiedBy>
  <cp:revision>2</cp:revision>
  <dcterms:created xsi:type="dcterms:W3CDTF">2021-09-28T13:52:00Z</dcterms:created>
  <dcterms:modified xsi:type="dcterms:W3CDTF">2021-09-28T13:52:00Z</dcterms:modified>
</cp:coreProperties>
</file>