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04162" w:displacedByCustomXml="next"/>
    <w:bookmarkStart w:id="1" w:name="_Toc518904053" w:displacedByCustomXml="next"/>
    <w:bookmarkStart w:id="2" w:name="_Toc361739802" w:displacedByCustomXml="next"/>
    <w:bookmarkStart w:id="3" w:name="_Toc361737759" w:displacedByCustomXml="next"/>
    <w:bookmarkStart w:id="4" w:name="_Toc393290351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-687905998"/>
        <w:docPartObj>
          <w:docPartGallery w:val="Table of Contents"/>
          <w:docPartUnique/>
        </w:docPartObj>
      </w:sdtPr>
      <w:sdtEndPr>
        <w:rPr>
          <w:b/>
          <w:bCs/>
          <w:sz w:val="20"/>
          <w:szCs w:val="24"/>
        </w:rPr>
      </w:sdtEndPr>
      <w:sdtContent>
        <w:p w14:paraId="3938DC05" w14:textId="23E10724" w:rsidR="002D7E26" w:rsidRPr="002D7E26" w:rsidRDefault="002D7E26" w:rsidP="002D7E26">
          <w:pPr>
            <w:pStyle w:val="Titolosommario"/>
            <w:spacing w:before="0" w:after="120"/>
            <w:rPr>
              <w:rFonts w:ascii="Times New Roman" w:hAnsi="Times New Roman" w:cs="Times New Roman"/>
              <w:sz w:val="18"/>
              <w:szCs w:val="18"/>
            </w:rPr>
          </w:pPr>
          <w:r w:rsidRPr="002D7E26">
            <w:rPr>
              <w:rFonts w:ascii="Times New Roman" w:hAnsi="Times New Roman" w:cs="Times New Roman"/>
              <w:sz w:val="18"/>
              <w:szCs w:val="18"/>
            </w:rPr>
            <w:t>Sommario</w:t>
          </w:r>
        </w:p>
        <w:p w14:paraId="13FE9268" w14:textId="7B825636" w:rsidR="002D7E26" w:rsidRPr="002D7E26" w:rsidRDefault="002D7E26" w:rsidP="002D7E26">
          <w:pPr>
            <w:pStyle w:val="Sommario1"/>
            <w:tabs>
              <w:tab w:val="right" w:pos="6680"/>
            </w:tabs>
            <w:spacing w:after="120"/>
            <w:rPr>
              <w:noProof/>
              <w:sz w:val="18"/>
              <w:szCs w:val="18"/>
            </w:rPr>
          </w:pPr>
          <w:r w:rsidRPr="002D7E26">
            <w:rPr>
              <w:sz w:val="18"/>
              <w:szCs w:val="18"/>
            </w:rPr>
            <w:fldChar w:fldCharType="begin"/>
          </w:r>
          <w:r w:rsidRPr="002D7E26">
            <w:rPr>
              <w:sz w:val="18"/>
              <w:szCs w:val="18"/>
            </w:rPr>
            <w:instrText xml:space="preserve"> TOC \o "1-3" \h \z \u </w:instrText>
          </w:r>
          <w:r w:rsidRPr="002D7E26">
            <w:rPr>
              <w:sz w:val="18"/>
              <w:szCs w:val="18"/>
            </w:rPr>
            <w:fldChar w:fldCharType="separate"/>
          </w:r>
          <w:hyperlink w:anchor="_Toc77341830" w:history="1">
            <w:r w:rsidRPr="002D7E26">
              <w:rPr>
                <w:rStyle w:val="Collegamentoipertestuale"/>
                <w:noProof/>
                <w:sz w:val="18"/>
                <w:szCs w:val="18"/>
              </w:rPr>
              <w:t>Lingua araba I (Lingua e fonologia)</w:t>
            </w:r>
            <w:r w:rsidRPr="002D7E26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8435D00" w14:textId="13429D07" w:rsidR="002D7E26" w:rsidRPr="002D7E26" w:rsidRDefault="00734C9B" w:rsidP="002D7E26">
          <w:pPr>
            <w:pStyle w:val="Sommario2"/>
            <w:tabs>
              <w:tab w:val="right" w:pos="6680"/>
            </w:tabs>
            <w:spacing w:after="120"/>
            <w:rPr>
              <w:noProof/>
              <w:sz w:val="18"/>
              <w:szCs w:val="18"/>
            </w:rPr>
          </w:pPr>
          <w:hyperlink w:anchor="_Toc77341831" w:history="1">
            <w:r w:rsidR="002D7E26" w:rsidRPr="002D7E26">
              <w:rPr>
                <w:rStyle w:val="Collegamentoipertestuale"/>
                <w:noProof/>
                <w:sz w:val="18"/>
                <w:szCs w:val="18"/>
              </w:rPr>
              <w:t>Prof. Martino Diez</w:t>
            </w:r>
            <w:r w:rsidR="002D7E26" w:rsidRPr="002D7E26">
              <w:rPr>
                <w:noProof/>
                <w:webHidden/>
                <w:sz w:val="18"/>
                <w:szCs w:val="18"/>
              </w:rPr>
              <w:tab/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begin"/>
            </w:r>
            <w:r w:rsidR="002D7E26" w:rsidRPr="002D7E26">
              <w:rPr>
                <w:noProof/>
                <w:webHidden/>
                <w:sz w:val="18"/>
                <w:szCs w:val="18"/>
              </w:rPr>
              <w:instrText xml:space="preserve"> PAGEREF _Toc77341831 \h </w:instrText>
            </w:r>
            <w:r w:rsidR="002D7E26" w:rsidRPr="002D7E26">
              <w:rPr>
                <w:noProof/>
                <w:webHidden/>
                <w:sz w:val="18"/>
                <w:szCs w:val="18"/>
              </w:rPr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D7E26" w:rsidRPr="002D7E26">
              <w:rPr>
                <w:noProof/>
                <w:webHidden/>
                <w:sz w:val="18"/>
                <w:szCs w:val="18"/>
              </w:rPr>
              <w:t>1</w:t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538BD6" w14:textId="5C287499" w:rsidR="002D7E26" w:rsidRPr="002D7E26" w:rsidRDefault="00734C9B" w:rsidP="002D7E26">
          <w:pPr>
            <w:pStyle w:val="Sommario1"/>
            <w:tabs>
              <w:tab w:val="right" w:pos="6680"/>
            </w:tabs>
            <w:spacing w:after="120"/>
            <w:rPr>
              <w:noProof/>
              <w:sz w:val="18"/>
              <w:szCs w:val="18"/>
            </w:rPr>
          </w:pPr>
          <w:hyperlink w:anchor="_Toc77341832" w:history="1">
            <w:r w:rsidR="002D7E26" w:rsidRPr="002D7E26">
              <w:rPr>
                <w:rStyle w:val="Collegamentoipertestuale"/>
                <w:noProof/>
                <w:sz w:val="18"/>
                <w:szCs w:val="18"/>
              </w:rPr>
              <w:t>Esercitazioni di lingua araba (1° triennalisti)</w:t>
            </w:r>
            <w:r w:rsidR="002D7E26" w:rsidRPr="002D7E26">
              <w:rPr>
                <w:noProof/>
                <w:webHidden/>
                <w:sz w:val="18"/>
                <w:szCs w:val="18"/>
              </w:rPr>
              <w:tab/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begin"/>
            </w:r>
            <w:r w:rsidR="002D7E26" w:rsidRPr="002D7E26">
              <w:rPr>
                <w:noProof/>
                <w:webHidden/>
                <w:sz w:val="18"/>
                <w:szCs w:val="18"/>
              </w:rPr>
              <w:instrText xml:space="preserve"> PAGEREF _Toc77341832 \h </w:instrText>
            </w:r>
            <w:r w:rsidR="002D7E26" w:rsidRPr="002D7E26">
              <w:rPr>
                <w:noProof/>
                <w:webHidden/>
                <w:sz w:val="18"/>
                <w:szCs w:val="18"/>
              </w:rPr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D7E26" w:rsidRPr="002D7E26">
              <w:rPr>
                <w:noProof/>
                <w:webHidden/>
                <w:sz w:val="18"/>
                <w:szCs w:val="18"/>
              </w:rPr>
              <w:t>3</w:t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F286B7C" w14:textId="2EBE70F3" w:rsidR="002D7E26" w:rsidRPr="002D7E26" w:rsidRDefault="00734C9B" w:rsidP="002D7E26">
          <w:pPr>
            <w:pStyle w:val="Sommario2"/>
            <w:tabs>
              <w:tab w:val="right" w:pos="6680"/>
            </w:tabs>
            <w:spacing w:after="120"/>
            <w:rPr>
              <w:noProof/>
              <w:sz w:val="18"/>
              <w:szCs w:val="18"/>
            </w:rPr>
          </w:pPr>
          <w:hyperlink w:anchor="_Toc77341833" w:history="1">
            <w:r w:rsidR="002D7E26" w:rsidRPr="002D7E26">
              <w:rPr>
                <w:rStyle w:val="Collegamentoipertestuale"/>
                <w:noProof/>
                <w:sz w:val="18"/>
                <w:szCs w:val="18"/>
              </w:rPr>
              <w:t>Dott. Elisa Ferrero; Dott. Hani Gergi; Dott. Chiara Martina Schiavi</w:t>
            </w:r>
            <w:r w:rsidR="002D7E26" w:rsidRPr="002D7E26">
              <w:rPr>
                <w:noProof/>
                <w:webHidden/>
                <w:sz w:val="18"/>
                <w:szCs w:val="18"/>
              </w:rPr>
              <w:tab/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begin"/>
            </w:r>
            <w:r w:rsidR="002D7E26" w:rsidRPr="002D7E26">
              <w:rPr>
                <w:noProof/>
                <w:webHidden/>
                <w:sz w:val="18"/>
                <w:szCs w:val="18"/>
              </w:rPr>
              <w:instrText xml:space="preserve"> PAGEREF _Toc77341833 \h </w:instrText>
            </w:r>
            <w:r w:rsidR="002D7E26" w:rsidRPr="002D7E26">
              <w:rPr>
                <w:noProof/>
                <w:webHidden/>
                <w:sz w:val="18"/>
                <w:szCs w:val="18"/>
              </w:rPr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D7E26" w:rsidRPr="002D7E26">
              <w:rPr>
                <w:noProof/>
                <w:webHidden/>
                <w:sz w:val="18"/>
                <w:szCs w:val="18"/>
              </w:rPr>
              <w:t>3</w:t>
            </w:r>
            <w:r w:rsidR="002D7E26" w:rsidRPr="002D7E2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5D7C37" w14:textId="5AFFD6D1" w:rsidR="002D7E26" w:rsidRDefault="002D7E26" w:rsidP="002D7E26">
          <w:pPr>
            <w:spacing w:after="120"/>
          </w:pPr>
          <w:r w:rsidRPr="002D7E26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4E69DC4" w14:textId="1382547F" w:rsidR="002D5E17" w:rsidRDefault="006F4AFB" w:rsidP="002D5E17">
      <w:pPr>
        <w:pStyle w:val="Titolo1"/>
      </w:pPr>
      <w:bookmarkStart w:id="5" w:name="_Toc77341830"/>
      <w:r>
        <w:t>Lingua araba I (L</w:t>
      </w:r>
      <w:r w:rsidRPr="00935EA4">
        <w:t>ingua e fonologia)</w:t>
      </w:r>
      <w:bookmarkEnd w:id="5"/>
      <w:bookmarkEnd w:id="4"/>
      <w:bookmarkEnd w:id="3"/>
      <w:bookmarkEnd w:id="2"/>
      <w:bookmarkEnd w:id="1"/>
      <w:bookmarkEnd w:id="0"/>
    </w:p>
    <w:p w14:paraId="1E3F17A3" w14:textId="77777777" w:rsidR="006F4AFB" w:rsidRPr="00935EA4" w:rsidRDefault="006F4AFB" w:rsidP="006F4AFB">
      <w:pPr>
        <w:pStyle w:val="Titolo2"/>
      </w:pPr>
      <w:bookmarkStart w:id="6" w:name="_Toc361737760"/>
      <w:bookmarkStart w:id="7" w:name="_Toc361739803"/>
      <w:bookmarkStart w:id="8" w:name="_Toc393290352"/>
      <w:bookmarkStart w:id="9" w:name="_Toc518904054"/>
      <w:bookmarkStart w:id="10" w:name="_Toc518904163"/>
      <w:bookmarkStart w:id="11" w:name="_Toc77341831"/>
      <w:r w:rsidRPr="00935EA4">
        <w:t xml:space="preserve">Prof. </w:t>
      </w:r>
      <w:bookmarkEnd w:id="6"/>
      <w:bookmarkEnd w:id="7"/>
      <w:bookmarkEnd w:id="8"/>
      <w:bookmarkEnd w:id="9"/>
      <w:bookmarkEnd w:id="10"/>
      <w:r>
        <w:t>Martino Diez</w:t>
      </w:r>
      <w:bookmarkEnd w:id="11"/>
    </w:p>
    <w:p w14:paraId="757A7ADD" w14:textId="77777777" w:rsidR="006F4AFB" w:rsidRDefault="006F4AFB" w:rsidP="006F4A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86864" w14:textId="77777777" w:rsidR="006F4AFB" w:rsidRDefault="006F4AFB" w:rsidP="00091DDA">
      <w:pPr>
        <w:spacing w:line="240" w:lineRule="exact"/>
      </w:pPr>
      <w:r>
        <w:t xml:space="preserve">L’insegnamento </w:t>
      </w:r>
      <w:r w:rsidR="00EC451C">
        <w:t>vuole</w:t>
      </w:r>
      <w:r>
        <w:t xml:space="preserve"> illustrare </w:t>
      </w:r>
      <w:r w:rsidRPr="00EC7768">
        <w:t>alcune delle caratteristiche più rilevanti della lingua araba, allo scopo di favorirne il corretto apprendimento.</w:t>
      </w:r>
      <w:r>
        <w:t xml:space="preserve"> Particolare attenzione sarà prestata all’aspetto fonologico, anche nel suo sviluppo storico.</w:t>
      </w:r>
    </w:p>
    <w:p w14:paraId="0159CB21" w14:textId="32793CEF" w:rsidR="006F4AFB" w:rsidRPr="00EC7768" w:rsidRDefault="006F4AFB" w:rsidP="00091DDA">
      <w:pPr>
        <w:spacing w:line="240" w:lineRule="exact"/>
      </w:pPr>
      <w:r>
        <w:t xml:space="preserve">Al temine dell’insegnamento lo studente sarà in grado di situare l’arabo all’interno delle lingue semitiche e comprenderne le principali caratteristiche tipologiche; conoscerà la differenza tra arabo coranico, arabo classico, Modern Standard Arabic e arabo colloquiale; approfondirà l’origine dell’alfabeto arabo e alcuni macro-fenomeni grammaticali quali: sistema verbale binario, radice e forma, </w:t>
      </w:r>
      <w:r w:rsidR="006F0FF9">
        <w:t xml:space="preserve">strategie di </w:t>
      </w:r>
      <w:r>
        <w:t>creazione del lessico, sistema di declinazione e coniugazione.</w:t>
      </w:r>
    </w:p>
    <w:p w14:paraId="6CD25BC5" w14:textId="77777777" w:rsidR="006F4AFB" w:rsidRDefault="006F4AFB" w:rsidP="006F4A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1789E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B03BF5">
        <w:rPr>
          <w:rFonts w:ascii="Times" w:hAnsi="Times"/>
          <w:szCs w:val="20"/>
        </w:rPr>
        <w:t>–</w:t>
      </w:r>
      <w:r w:rsidRPr="00B03BF5">
        <w:rPr>
          <w:rFonts w:ascii="Times" w:hAnsi="Times"/>
          <w:szCs w:val="20"/>
        </w:rPr>
        <w:tab/>
      </w:r>
      <w:r w:rsidRPr="006F4AFB">
        <w:rPr>
          <w:szCs w:val="20"/>
        </w:rPr>
        <w:t>L’alfabeto arabo;</w:t>
      </w:r>
    </w:p>
    <w:p w14:paraId="6B12598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L’arabo tra le lingue semitiche;</w:t>
      </w:r>
    </w:p>
    <w:p w14:paraId="3A017E7D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Principali caratteristiche fonologiche e tipologiche della lingua araba;</w:t>
      </w:r>
    </w:p>
    <w:p w14:paraId="665E515B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Arabo coranico e arabo classico;</w:t>
      </w:r>
    </w:p>
    <w:p w14:paraId="4B6408F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Il processo di standardizzazione: grammatica e lessicografia;</w:t>
      </w:r>
    </w:p>
    <w:p w14:paraId="57B9D88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Modern Standard Arabic;</w:t>
      </w:r>
    </w:p>
    <w:p w14:paraId="0FB5A91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 dialetti arabi e le teorie sulla loro genesi;</w:t>
      </w:r>
    </w:p>
    <w:p w14:paraId="4724813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Il medio arabo;</w:t>
      </w:r>
    </w:p>
    <w:p w14:paraId="5E7EEF9A" w14:textId="77777777" w:rsidR="006F4AFB" w:rsidRPr="00B03BF5" w:rsidRDefault="006F4AFB" w:rsidP="00091DDA">
      <w:pPr>
        <w:spacing w:line="240" w:lineRule="exact"/>
        <w:rPr>
          <w:rFonts w:ascii="Times" w:hAnsi="Times"/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La diglossia.</w:t>
      </w:r>
    </w:p>
    <w:p w14:paraId="46BADD1B" w14:textId="16E8FD7E" w:rsidR="006F4AFB" w:rsidRPr="00091DDA" w:rsidRDefault="006F4AFB" w:rsidP="00091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57560">
        <w:rPr>
          <w:rStyle w:val="Rimandonotaapidipagina"/>
          <w:b/>
          <w:i/>
          <w:sz w:val="18"/>
        </w:rPr>
        <w:footnoteReference w:id="1"/>
      </w:r>
    </w:p>
    <w:p w14:paraId="09C13FCF" w14:textId="393A6BD5" w:rsidR="006F4AFB" w:rsidRPr="006F4AFB" w:rsidRDefault="006F4AFB" w:rsidP="006F4AFB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lastRenderedPageBreak/>
        <w:t>M. Diez,</w:t>
      </w:r>
      <w:r w:rsidRPr="006F4AFB">
        <w:rPr>
          <w:i/>
          <w:spacing w:val="-5"/>
        </w:rPr>
        <w:t xml:space="preserve"> Introduzione alla lingua araba. Origini, storia, attualità,</w:t>
      </w:r>
      <w:r w:rsidRPr="006F4AFB">
        <w:rPr>
          <w:spacing w:val="-5"/>
        </w:rPr>
        <w:t xml:space="preserve"> nuova edizione. Vita e Pensiero, Milano, 2018. </w:t>
      </w:r>
      <w:hyperlink r:id="rId8" w:history="1">
        <w:r w:rsidR="00557560" w:rsidRPr="005575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557560">
        <w:t xml:space="preserve"> </w:t>
      </w:r>
      <w:hyperlink r:id="rId9" w:history="1"/>
    </w:p>
    <w:p w14:paraId="55B9AA5C" w14:textId="77777777" w:rsidR="006F4AFB" w:rsidRPr="00155F28" w:rsidRDefault="006F4AFB" w:rsidP="006F4AFB">
      <w:pPr>
        <w:pStyle w:val="Testo1"/>
      </w:pPr>
      <w:r>
        <w:t>Per approfondire</w:t>
      </w:r>
    </w:p>
    <w:p w14:paraId="4EC9742C" w14:textId="00D30E80" w:rsidR="00EC451C" w:rsidRPr="006F4AFB" w:rsidRDefault="00EC451C" w:rsidP="00EC451C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t>G. Garbini-O. Durand,</w:t>
      </w:r>
      <w:r w:rsidRPr="006F4AFB">
        <w:rPr>
          <w:i/>
          <w:spacing w:val="-5"/>
        </w:rPr>
        <w:t xml:space="preserve"> Introduzione alle lingue semitiche,</w:t>
      </w:r>
      <w:r w:rsidRPr="006F4AFB">
        <w:rPr>
          <w:spacing w:val="-5"/>
        </w:rPr>
        <w:t xml:space="preserve"> Paideia, Brescia, 1994 (escluso il capitolo 2). </w:t>
      </w:r>
      <w:r w:rsidR="00557560">
        <w:rPr>
          <w:spacing w:val="-5"/>
        </w:rPr>
        <w:t xml:space="preserve"> </w:t>
      </w:r>
      <w:hyperlink r:id="rId10" w:history="1">
        <w:r w:rsidR="00557560" w:rsidRPr="005575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7A9347" w14:textId="003872FA" w:rsidR="00EC451C" w:rsidRPr="006F4AFB" w:rsidRDefault="00EC451C" w:rsidP="00EC451C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t>O. Durand,</w:t>
      </w:r>
      <w:r w:rsidRPr="006F4AFB">
        <w:rPr>
          <w:i/>
          <w:spacing w:val="-5"/>
        </w:rPr>
        <w:t xml:space="preserve"> Dialettologia araba,</w:t>
      </w:r>
      <w:r w:rsidRPr="006F4AFB">
        <w:rPr>
          <w:spacing w:val="-5"/>
        </w:rPr>
        <w:t xml:space="preserve"> Carocci, Roma, 2009. </w:t>
      </w:r>
      <w:hyperlink r:id="rId11" w:history="1">
        <w:r w:rsidR="00557560" w:rsidRPr="005575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70D5B8" w14:textId="72DEB14B" w:rsidR="006F4AFB" w:rsidRPr="002D7E26" w:rsidRDefault="006F4AFB" w:rsidP="006F4AFB">
      <w:pPr>
        <w:pStyle w:val="Testo1"/>
        <w:spacing w:before="0" w:line="240" w:lineRule="atLeast"/>
        <w:rPr>
          <w:iCs/>
          <w:spacing w:val="-5"/>
          <w:szCs w:val="16"/>
          <w:lang w:val="en-US"/>
        </w:rPr>
      </w:pPr>
      <w:r w:rsidRPr="002D7E26">
        <w:rPr>
          <w:smallCaps/>
          <w:spacing w:val="-5"/>
          <w:sz w:val="16"/>
          <w:lang w:val="en-US"/>
        </w:rPr>
        <w:t>P. Larcher,</w:t>
      </w:r>
      <w:r w:rsidRPr="002D7E26">
        <w:rPr>
          <w:i/>
          <w:spacing w:val="-5"/>
          <w:lang w:val="en-US"/>
        </w:rPr>
        <w:t xml:space="preserve"> L</w:t>
      </w:r>
      <w:r w:rsidRPr="002D7E26">
        <w:rPr>
          <w:i/>
          <w:iCs/>
          <w:spacing w:val="-5"/>
          <w:szCs w:val="16"/>
          <w:lang w:val="en-US"/>
        </w:rPr>
        <w:t>e système verbal de l’arabe classique,</w:t>
      </w:r>
      <w:r w:rsidRPr="002D7E26">
        <w:rPr>
          <w:iCs/>
          <w:spacing w:val="-5"/>
          <w:szCs w:val="16"/>
          <w:lang w:val="en-US"/>
        </w:rPr>
        <w:t xml:space="preserve"> Deuxième édition revue et augmentée, Presses Universitaires de Provence, Aix, 2012.</w:t>
      </w:r>
      <w:r w:rsidR="00557560" w:rsidRPr="002D7E26">
        <w:rPr>
          <w:iCs/>
          <w:spacing w:val="-5"/>
          <w:szCs w:val="16"/>
          <w:lang w:val="en-US"/>
        </w:rPr>
        <w:t xml:space="preserve"> </w:t>
      </w:r>
    </w:p>
    <w:p w14:paraId="61C3E642" w14:textId="77777777" w:rsidR="006F4AFB" w:rsidRPr="006F4AFB" w:rsidRDefault="006F4AFB" w:rsidP="006F4AFB">
      <w:pPr>
        <w:pStyle w:val="Testo1"/>
        <w:spacing w:before="0" w:line="240" w:lineRule="atLeast"/>
        <w:rPr>
          <w:spacing w:val="-5"/>
          <w:lang w:val="en-US"/>
        </w:rPr>
      </w:pPr>
      <w:r w:rsidRPr="006F4AFB">
        <w:rPr>
          <w:smallCaps/>
          <w:spacing w:val="-5"/>
          <w:sz w:val="16"/>
          <w:lang w:val="en-US"/>
        </w:rPr>
        <w:t>K. Versteegh,</w:t>
      </w:r>
      <w:r w:rsidRPr="006F4AFB">
        <w:rPr>
          <w:i/>
          <w:spacing w:val="-5"/>
          <w:lang w:val="en-US"/>
        </w:rPr>
        <w:t xml:space="preserve"> The Arabic Language. Second Edition,</w:t>
      </w:r>
      <w:r w:rsidRPr="006F4AFB">
        <w:rPr>
          <w:spacing w:val="-5"/>
          <w:lang w:val="en-US"/>
        </w:rPr>
        <w:t xml:space="preserve"> Edinburgh University Press, Edinburgh, 2014.</w:t>
      </w:r>
    </w:p>
    <w:p w14:paraId="336559E7" w14:textId="77777777" w:rsidR="006F4AFB" w:rsidRPr="006F4AFB" w:rsidRDefault="006F4AFB" w:rsidP="006F4AFB">
      <w:pPr>
        <w:pStyle w:val="Testo1"/>
        <w:spacing w:before="0" w:line="240" w:lineRule="atLeast"/>
        <w:rPr>
          <w:i/>
          <w:spacing w:val="-5"/>
        </w:rPr>
      </w:pPr>
      <w:r w:rsidRPr="006F4AFB">
        <w:rPr>
          <w:smallCaps/>
          <w:spacing w:val="-5"/>
          <w:sz w:val="16"/>
        </w:rPr>
        <w:t>C.A. Ferguson,</w:t>
      </w:r>
      <w:r w:rsidRPr="006F4AFB">
        <w:rPr>
          <w:i/>
          <w:spacing w:val="-5"/>
        </w:rPr>
        <w:t xml:space="preserve"> La diglossia </w:t>
      </w:r>
      <w:r w:rsidRPr="006F4AFB">
        <w:rPr>
          <w:spacing w:val="-5"/>
        </w:rPr>
        <w:t>in</w:t>
      </w:r>
      <w:r>
        <w:rPr>
          <w:i/>
          <w:spacing w:val="-5"/>
        </w:rPr>
        <w:t xml:space="preserve"> </w:t>
      </w:r>
      <w:r w:rsidRPr="006F4AFB">
        <w:rPr>
          <w:smallCaps/>
          <w:spacing w:val="-5"/>
          <w:sz w:val="16"/>
          <w:szCs w:val="16"/>
        </w:rPr>
        <w:t>P. Giglioli</w:t>
      </w:r>
      <w:r w:rsidRPr="006F4AFB">
        <w:rPr>
          <w:smallCaps/>
          <w:spacing w:val="-5"/>
          <w:sz w:val="16"/>
        </w:rPr>
        <w:t xml:space="preserve"> </w:t>
      </w:r>
      <w:r w:rsidRPr="00091DDA">
        <w:rPr>
          <w:spacing w:val="-5"/>
        </w:rPr>
        <w:t>(a cura di),</w:t>
      </w:r>
      <w:r w:rsidRPr="006F4AFB">
        <w:rPr>
          <w:i/>
          <w:spacing w:val="-5"/>
        </w:rPr>
        <w:t xml:space="preserve"> Linguaggio e società,</w:t>
      </w:r>
      <w:r w:rsidRPr="006F4AFB">
        <w:rPr>
          <w:spacing w:val="-5"/>
        </w:rPr>
        <w:t xml:space="preserve"> Il Mulino, Bologna, 19842 (pp. 281-300).</w:t>
      </w:r>
    </w:p>
    <w:p w14:paraId="5236CA49" w14:textId="77777777" w:rsidR="006F4AFB" w:rsidRPr="006F4AFB" w:rsidRDefault="006F4AFB" w:rsidP="006F4AFB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6F4AFB">
        <w:rPr>
          <w:rFonts w:ascii="Times" w:hAnsi="Times"/>
          <w:smallCaps/>
          <w:spacing w:val="-5"/>
          <w:sz w:val="16"/>
        </w:rPr>
        <w:t>A. Sabrī,</w:t>
      </w:r>
      <w:r w:rsidRPr="006F4AFB">
        <w:rPr>
          <w:rFonts w:ascii="Times" w:hAnsi="Times"/>
          <w:i/>
          <w:spacing w:val="-5"/>
          <w:sz w:val="18"/>
        </w:rPr>
        <w:t xml:space="preserve"> Aḥdath at-turuq li-ta‘līm al-khutūt al-‘arabiyya,</w:t>
      </w:r>
      <w:r w:rsidRPr="006F4AFB">
        <w:rPr>
          <w:rFonts w:ascii="Times" w:hAnsi="Times"/>
          <w:spacing w:val="-5"/>
          <w:sz w:val="18"/>
        </w:rPr>
        <w:t xml:space="preserve"> al-Qāhira, Maktabat Ibn Sīnā s.d. (fornito dal docente a richiesta).</w:t>
      </w:r>
    </w:p>
    <w:p w14:paraId="1AFB246B" w14:textId="77777777" w:rsidR="006F4AFB" w:rsidRDefault="006F4AFB" w:rsidP="006F4A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B0E4CE" w14:textId="77777777" w:rsidR="006F4AFB" w:rsidRDefault="006F4AFB" w:rsidP="006F4AFB">
      <w:pPr>
        <w:pStyle w:val="Testo2"/>
      </w:pPr>
      <w:r w:rsidRPr="006167F1">
        <w:t>Lezioni in aula</w:t>
      </w:r>
      <w:r>
        <w:t>.</w:t>
      </w:r>
    </w:p>
    <w:p w14:paraId="304674B3" w14:textId="77777777" w:rsidR="006F4AFB" w:rsidRDefault="006F4AFB" w:rsidP="006F4A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F7C3E8" w14:textId="77777777" w:rsidR="006F4AFB" w:rsidRPr="00A807A9" w:rsidRDefault="006F4AFB" w:rsidP="006F4AFB">
      <w:pPr>
        <w:pStyle w:val="Testo2"/>
      </w:pPr>
      <w:r>
        <w:t>L’e</w:t>
      </w:r>
      <w:r w:rsidRPr="00A807A9">
        <w:t xml:space="preserve">same </w:t>
      </w:r>
      <w:r>
        <w:t xml:space="preserve">è </w:t>
      </w:r>
      <w:r w:rsidRPr="00A807A9">
        <w:t>orale.</w:t>
      </w:r>
    </w:p>
    <w:p w14:paraId="51235CB1" w14:textId="77777777" w:rsidR="006F4AFB" w:rsidRDefault="006F4AFB" w:rsidP="006F4AFB">
      <w:pPr>
        <w:pStyle w:val="Testo2"/>
      </w:pPr>
      <w:r w:rsidRPr="00A807A9">
        <w:t xml:space="preserve">Agli studenti sarà preliminarmente chiesto di leggere in modo fluente uno dei testi </w:t>
      </w:r>
      <w:r>
        <w:t>studiati nel</w:t>
      </w:r>
      <w:r w:rsidRPr="00A807A9">
        <w:t>le esercitazioni di lingua araba. Accertato il superamento di questo requis</w:t>
      </w:r>
      <w:r>
        <w:t>ito, saranno posti due quesiti, di uguale peso:</w:t>
      </w:r>
    </w:p>
    <w:p w14:paraId="54A7E218" w14:textId="77777777" w:rsidR="006F4AFB" w:rsidRPr="009D1F8F" w:rsidRDefault="006F4AFB" w:rsidP="006F4AFB">
      <w:pPr>
        <w:pStyle w:val="Testo2"/>
        <w:ind w:left="567" w:hanging="283"/>
      </w:pPr>
      <w:r>
        <w:t>–</w:t>
      </w:r>
      <w:r>
        <w:tab/>
      </w:r>
      <w:r w:rsidRPr="009D1F8F">
        <w:t>Una domanda generale circa la riflessione linguistica sull’arabo (es. la posizione dell’arabo nelle lingue semitiche, la lingua del Corano, la diglossia etc.).</w:t>
      </w:r>
    </w:p>
    <w:p w14:paraId="47998CDB" w14:textId="77777777" w:rsidR="006F4AFB" w:rsidRDefault="006F4AFB" w:rsidP="006F4AFB">
      <w:pPr>
        <w:pStyle w:val="Testo2"/>
        <w:ind w:left="567" w:hanging="283"/>
      </w:pPr>
      <w:r>
        <w:t>–</w:t>
      </w:r>
      <w:r>
        <w:tab/>
      </w:r>
      <w:r w:rsidRPr="009D1F8F">
        <w:t>Una domanda specifica su elementi della grammatica araba spiegati a lezione.</w:t>
      </w:r>
    </w:p>
    <w:p w14:paraId="68BD9B1A" w14:textId="77777777" w:rsidR="006F4AFB" w:rsidRPr="00906D38" w:rsidRDefault="006F4AFB" w:rsidP="006F4AFB">
      <w:pPr>
        <w:pStyle w:val="Testo2"/>
      </w:pPr>
      <w:r w:rsidRPr="00906D38">
        <w:t>Al voto finale concorre il voto che risulta dalla media ponderata degli esiti delle prove intermedie di lingua scritta e orale</w:t>
      </w:r>
      <w:r w:rsidRPr="00906D38">
        <w:rPr>
          <w:sz w:val="20"/>
        </w:rPr>
        <w:t>.</w:t>
      </w:r>
    </w:p>
    <w:p w14:paraId="4CF423B7" w14:textId="77777777" w:rsidR="006F4AFB" w:rsidRDefault="006F4AFB" w:rsidP="006F4A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E14E37" w14:textId="77777777" w:rsidR="002D7E26" w:rsidRDefault="006F4AFB" w:rsidP="006F4AFB">
      <w:pPr>
        <w:pStyle w:val="Testo2"/>
      </w:pPr>
      <w:r>
        <w:t>Non è richiesta alcuna preconoscenza della lingua araba. Tuttavia, p</w:t>
      </w:r>
      <w:r w:rsidRPr="00A807A9">
        <w:t>er poter essere seguito con profitto il corso richiede la contemporanea frequenza delle esercitazioni di ling</w:t>
      </w:r>
    </w:p>
    <w:p w14:paraId="4D0AF334" w14:textId="5DA5BA1A" w:rsidR="006F4AFB" w:rsidRPr="006F4AFB" w:rsidRDefault="006F4AFB" w:rsidP="006F4AFB">
      <w:pPr>
        <w:pStyle w:val="Testo2"/>
      </w:pPr>
      <w:r w:rsidRPr="00A807A9">
        <w:t>ua araba 1.</w:t>
      </w:r>
    </w:p>
    <w:p w14:paraId="3820F5EC" w14:textId="77777777" w:rsidR="006F4AFB" w:rsidRPr="006F4AFB" w:rsidRDefault="006F4AFB" w:rsidP="006F4AF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3872504" w14:textId="4375412A" w:rsidR="006F4AFB" w:rsidRDefault="006F4AFB" w:rsidP="006F4AFB">
      <w:pPr>
        <w:pStyle w:val="Testo2"/>
      </w:pPr>
      <w:r w:rsidRPr="00A807A9">
        <w:t xml:space="preserve">Il Prof. </w:t>
      </w:r>
      <w:r>
        <w:t>Martino Diez</w:t>
      </w:r>
      <w:r w:rsidRPr="00A807A9">
        <w:t xml:space="preserve"> riceve gli studenti </w:t>
      </w:r>
      <w:r>
        <w:t xml:space="preserve">in aula </w:t>
      </w:r>
      <w:r w:rsidRPr="00A807A9">
        <w:t>al termine delle lezioni.</w:t>
      </w:r>
    </w:p>
    <w:p w14:paraId="0451CCE4" w14:textId="512DF821" w:rsidR="002D7E26" w:rsidRDefault="002D7E26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4B2354A6" w14:textId="77777777" w:rsidR="002D7E26" w:rsidRPr="00D12488" w:rsidRDefault="002D7E26" w:rsidP="002D7E26">
      <w:pPr>
        <w:pStyle w:val="Titolo1"/>
      </w:pPr>
      <w:bookmarkStart w:id="12" w:name="_Toc425863157"/>
      <w:bookmarkStart w:id="13" w:name="_Toc455481077"/>
      <w:bookmarkStart w:id="14" w:name="_Toc488247913"/>
      <w:bookmarkStart w:id="15" w:name="_Toc77341832"/>
      <w:r w:rsidRPr="00D12488">
        <w:lastRenderedPageBreak/>
        <w:t>Esercitazioni di lingua araba (1° triennalisti)</w:t>
      </w:r>
      <w:bookmarkEnd w:id="12"/>
      <w:bookmarkEnd w:id="13"/>
      <w:bookmarkEnd w:id="14"/>
      <w:bookmarkEnd w:id="15"/>
    </w:p>
    <w:p w14:paraId="25734CFB" w14:textId="77777777" w:rsidR="002D7E26" w:rsidRPr="0004721F" w:rsidRDefault="002D7E26" w:rsidP="002D7E26">
      <w:pPr>
        <w:pStyle w:val="Titolo2"/>
        <w:rPr>
          <w:color w:val="000000" w:themeColor="text1"/>
        </w:rPr>
      </w:pPr>
      <w:bookmarkStart w:id="16" w:name="_Toc77341833"/>
      <w:r w:rsidRPr="0004721F">
        <w:rPr>
          <w:color w:val="000000" w:themeColor="text1"/>
        </w:rPr>
        <w:t>D</w:t>
      </w:r>
      <w:bookmarkStart w:id="17" w:name="_Toc488247914"/>
      <w:r w:rsidRPr="0004721F">
        <w:rPr>
          <w:color w:val="000000" w:themeColor="text1"/>
        </w:rPr>
        <w:t xml:space="preserve">ott. Elisa Ferrero; Dott. </w:t>
      </w:r>
      <w:r w:rsidRPr="0075002C">
        <w:t>Hani Gergi</w:t>
      </w:r>
      <w:bookmarkEnd w:id="17"/>
      <w:r w:rsidRPr="0075002C">
        <w:t>; Dott. Chiara Martina Schiavi</w:t>
      </w:r>
      <w:bookmarkEnd w:id="16"/>
    </w:p>
    <w:p w14:paraId="535D0982" w14:textId="77777777" w:rsidR="002D7E26" w:rsidRPr="00D12488" w:rsidRDefault="002D7E26" w:rsidP="002D7E26">
      <w:pPr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</w:t>
      </w:r>
      <w:r w:rsidRPr="002851E0">
        <w:rPr>
          <w:b/>
          <w:i/>
          <w:sz w:val="18"/>
        </w:rPr>
        <w:t>E RISULTATI DI APPRENDIMENTO ATTESI</w:t>
      </w:r>
    </w:p>
    <w:p w14:paraId="33428F47" w14:textId="77777777" w:rsidR="002D7E26" w:rsidRPr="0075002C" w:rsidRDefault="002D7E26" w:rsidP="002D7E26">
      <w:pPr>
        <w:rPr>
          <w:color w:val="000000" w:themeColor="text1"/>
          <w:szCs w:val="20"/>
        </w:rPr>
      </w:pPr>
      <w:r w:rsidRPr="0075002C">
        <w:rPr>
          <w:color w:val="000000" w:themeColor="text1"/>
          <w:szCs w:val="20"/>
        </w:rPr>
        <w:t>Il corso verte sulla acquisizione degli aspetti fonetici e morfosintattici di base della lingua araba. Al termine del corso lo studente deve essere in grado di possedere correttezza fonetico-fonologica, ossia di scrivere e pronunciare correttamente i suoni della lingua araba, di distinguere le vocali brevi dalle lunghe e le solari dalle lunari; dovrà inoltre essere in grado di comprendere semplici testi audio, formulare domande e risposte elementari ed esprimersi correttamente utilizzando il lessico e le strutture sintattiche di base.</w:t>
      </w:r>
    </w:p>
    <w:p w14:paraId="1B7F6279" w14:textId="77777777" w:rsidR="002D7E26" w:rsidRPr="00F47AB4" w:rsidRDefault="002D7E26" w:rsidP="002D7E26">
      <w:pPr>
        <w:rPr>
          <w:b/>
          <w:color w:val="000000" w:themeColor="text1"/>
          <w:szCs w:val="20"/>
        </w:rPr>
      </w:pPr>
      <w:r w:rsidRPr="0075002C">
        <w:rPr>
          <w:color w:val="000000" w:themeColor="text1"/>
          <w:szCs w:val="20"/>
          <w:shd w:val="clear" w:color="auto" w:fill="FFFFFF"/>
        </w:rPr>
        <w:t>Le attività proposte nel ciclo delle Esercitazioni di lingua araba per la prima annualità della Laurea triennale mirano al raggiungimento, nelle quattro abilità, di</w:t>
      </w:r>
      <w:r w:rsidRPr="00F47AB4">
        <w:rPr>
          <w:color w:val="000000" w:themeColor="text1"/>
          <w:szCs w:val="20"/>
          <w:shd w:val="clear" w:color="auto" w:fill="FFFFFF"/>
        </w:rPr>
        <w:t xml:space="preserve"> un livello di competenze che si colloca tra il livello B1 e il livello B2 del Portfolio Europeo delle lingue.</w:t>
      </w:r>
    </w:p>
    <w:p w14:paraId="00F180F8" w14:textId="77777777" w:rsidR="002D7E26" w:rsidRPr="00D12488" w:rsidRDefault="002D7E26" w:rsidP="002D7E26">
      <w:pPr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PROGRAMMA DEL CORSO</w:t>
      </w:r>
    </w:p>
    <w:p w14:paraId="4BED68BC" w14:textId="77777777" w:rsidR="002D7E26" w:rsidRPr="0075002C" w:rsidRDefault="002D7E26" w:rsidP="002D7E26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Presentazione dei suoni della lingua araba in base al loro luogo di articolazione.</w:t>
      </w:r>
    </w:p>
    <w:p w14:paraId="6DD7C871" w14:textId="77777777" w:rsidR="002D7E26" w:rsidRPr="0075002C" w:rsidRDefault="002D7E26" w:rsidP="002D7E26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Distinzione tra vocali brevi e lunghe.</w:t>
      </w:r>
    </w:p>
    <w:p w14:paraId="0A317BAF" w14:textId="77777777" w:rsidR="002D7E26" w:rsidRPr="0075002C" w:rsidRDefault="002D7E26" w:rsidP="002D7E26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Distinzione tra solari e lunari.</w:t>
      </w:r>
    </w:p>
    <w:p w14:paraId="276299F4" w14:textId="77777777" w:rsidR="002D7E26" w:rsidRPr="0075002C" w:rsidRDefault="002D7E26" w:rsidP="002D7E26">
      <w:pPr>
        <w:ind w:left="284" w:hanging="284"/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Acquisizione delle competenze grammaticali elementari volte alla corretta produzione di frasi nominali e verbali.</w:t>
      </w:r>
    </w:p>
    <w:p w14:paraId="0CB8F405" w14:textId="77777777" w:rsidR="002D7E26" w:rsidRPr="0075002C" w:rsidRDefault="002D7E26" w:rsidP="002D7E26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Ascolto e produzione scritta e</w:t>
      </w:r>
      <w:r w:rsidRPr="0075002C">
        <w:rPr>
          <w:color w:val="00B050"/>
          <w:szCs w:val="20"/>
        </w:rPr>
        <w:t xml:space="preserve"> </w:t>
      </w:r>
      <w:r w:rsidRPr="0075002C">
        <w:rPr>
          <w:szCs w:val="20"/>
        </w:rPr>
        <w:t>orale di parole, brevi frasi, domande e risposte.</w:t>
      </w:r>
    </w:p>
    <w:p w14:paraId="2E761725" w14:textId="77777777" w:rsidR="002D7E26" w:rsidRPr="0075002C" w:rsidRDefault="002D7E26" w:rsidP="002D7E26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Conversazione guidata su argomenti e situazioni di vita comune.</w:t>
      </w:r>
    </w:p>
    <w:p w14:paraId="0362AA2E" w14:textId="6AABE7F4" w:rsidR="002D7E26" w:rsidRPr="00D12488" w:rsidRDefault="002D7E26" w:rsidP="002D7E26">
      <w:pPr>
        <w:keepNext/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BIBLIOGRAFIA</w:t>
      </w:r>
      <w:r w:rsidR="00734C9B">
        <w:rPr>
          <w:rStyle w:val="Rimandonotaapidipagina"/>
          <w:b/>
          <w:i/>
          <w:sz w:val="18"/>
        </w:rPr>
        <w:footnoteReference w:id="2"/>
      </w:r>
    </w:p>
    <w:p w14:paraId="7B2761FA" w14:textId="27D4DB07" w:rsidR="002D7E26" w:rsidRPr="00D12488" w:rsidRDefault="002D7E26" w:rsidP="002D7E26">
      <w:pPr>
        <w:pStyle w:val="Testo1"/>
      </w:pPr>
      <w:r w:rsidRPr="00D12488">
        <w:t>–</w:t>
      </w:r>
      <w:r w:rsidRPr="00D12488">
        <w:tab/>
      </w:r>
      <w:r w:rsidRPr="00D12488">
        <w:rPr>
          <w:smallCaps/>
          <w:sz w:val="16"/>
        </w:rPr>
        <w:t>W. Farouq-E. Ferrero</w:t>
      </w:r>
      <w:r w:rsidRPr="00D12488">
        <w:rPr>
          <w:smallCaps/>
        </w:rPr>
        <w:t>,</w:t>
      </w:r>
      <w:r w:rsidRPr="00D12488">
        <w:t xml:space="preserve"> Le parole in azione. Corso elementare di arabo moderno standard, </w:t>
      </w:r>
      <w:r w:rsidRPr="00D12488">
        <w:rPr>
          <w:color w:val="000000" w:themeColor="text1"/>
        </w:rPr>
        <w:t xml:space="preserve">Volume I, </w:t>
      </w:r>
      <w:r w:rsidRPr="00D12488">
        <w:t>Vita e Pensiero, Milano 20</w:t>
      </w:r>
      <w:r>
        <w:t>20 (Nuova edizione)</w:t>
      </w:r>
      <w:r w:rsidRPr="00D12488">
        <w:t>.</w:t>
      </w:r>
      <w:r w:rsidR="00734C9B">
        <w:t xml:space="preserve"> </w:t>
      </w:r>
      <w:hyperlink r:id="rId12" w:history="1">
        <w:r w:rsidR="00734C9B" w:rsidRPr="00734C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8" w:name="_GoBack"/>
      <w:bookmarkEnd w:id="18"/>
    </w:p>
    <w:p w14:paraId="30E6A7A9" w14:textId="77777777" w:rsidR="002D7E26" w:rsidRPr="00D12488" w:rsidRDefault="002D7E26" w:rsidP="002D7E26">
      <w:pPr>
        <w:keepNext/>
        <w:spacing w:before="240" w:after="120"/>
        <w:rPr>
          <w:b/>
          <w:i/>
          <w:sz w:val="18"/>
        </w:rPr>
      </w:pPr>
      <w:r w:rsidRPr="00D12488">
        <w:rPr>
          <w:b/>
          <w:i/>
          <w:sz w:val="18"/>
        </w:rPr>
        <w:t>DIDATTICA DEL CORSO</w:t>
      </w:r>
    </w:p>
    <w:p w14:paraId="1BBAD158" w14:textId="77777777" w:rsidR="002D7E26" w:rsidRPr="00D12488" w:rsidRDefault="002D7E26" w:rsidP="002D7E26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Lezioni frontali.</w:t>
      </w:r>
    </w:p>
    <w:p w14:paraId="68FDD35D" w14:textId="77777777" w:rsidR="002D7E26" w:rsidRPr="00D12488" w:rsidRDefault="002D7E26" w:rsidP="002D7E26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Lezioni interattive.</w:t>
      </w:r>
    </w:p>
    <w:p w14:paraId="6CA2920A" w14:textId="77777777" w:rsidR="002D7E26" w:rsidRPr="00D12488" w:rsidRDefault="002D7E26" w:rsidP="002D7E26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Attività a coppie ed in gruppi.</w:t>
      </w:r>
    </w:p>
    <w:p w14:paraId="33C9821E" w14:textId="77777777" w:rsidR="002D7E26" w:rsidRDefault="002D7E26" w:rsidP="002D7E26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Esercitazioni in aula.</w:t>
      </w:r>
    </w:p>
    <w:p w14:paraId="549195BC" w14:textId="77777777" w:rsidR="002D7E26" w:rsidRPr="0004721F" w:rsidRDefault="002D7E26" w:rsidP="002D7E26">
      <w:pPr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eastAsia="en-US"/>
        </w:rPr>
      </w:pPr>
      <w:r w:rsidRPr="0004721F"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eastAsia="en-US"/>
        </w:rPr>
        <w:t>Le lezioni si svolgono in lingua araba.</w:t>
      </w:r>
    </w:p>
    <w:p w14:paraId="702A2928" w14:textId="77777777" w:rsidR="002D7E26" w:rsidRPr="0075002C" w:rsidRDefault="002D7E26" w:rsidP="002D7E26">
      <w:pPr>
        <w:keepNext/>
        <w:spacing w:before="240" w:after="120"/>
        <w:rPr>
          <w:b/>
          <w:i/>
          <w:sz w:val="18"/>
        </w:rPr>
      </w:pPr>
      <w:r w:rsidRPr="0075002C">
        <w:rPr>
          <w:b/>
          <w:i/>
          <w:sz w:val="18"/>
        </w:rPr>
        <w:lastRenderedPageBreak/>
        <w:t>METODO E CRITERI DI VALUTAZIONE</w:t>
      </w:r>
    </w:p>
    <w:p w14:paraId="1C79D7E6" w14:textId="77777777" w:rsidR="002D7E26" w:rsidRPr="0075002C" w:rsidRDefault="002D7E26" w:rsidP="002D7E26">
      <w:pPr>
        <w:ind w:firstLine="284"/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L'esame prevede una prova scritta e una prova orale, autonoma e indipendente da quella scritta,  atte a valutare l'acquisizione delle competenze fonetiche e morfosintattiche di livello elementare della lingua araba.</w:t>
      </w:r>
    </w:p>
    <w:p w14:paraId="095C497B" w14:textId="77777777" w:rsidR="002D7E26" w:rsidRPr="0075002C" w:rsidRDefault="002D7E26" w:rsidP="002D7E26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La prova scritta si articola come segue: dettato (20% del valore della valutazione finale), prova di comprensione di un testo scritto e test sulle competenze lessicali (40% del valore della valutazione finale), test sulle competenze morfosintattiche (30% del valore della valutazione finale), traduzione dall’arabo all’italiano e viceversa (10% del valore della valutazione finale).</w:t>
      </w:r>
    </w:p>
    <w:p w14:paraId="347BACA1" w14:textId="77777777" w:rsidR="002D7E26" w:rsidRPr="0075002C" w:rsidRDefault="002D7E26" w:rsidP="002D7E26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Tempo di esecuzione globale: 2 ore e 30 minuti.</w:t>
      </w:r>
    </w:p>
    <w:p w14:paraId="079A7821" w14:textId="77777777" w:rsidR="002D7E26" w:rsidRPr="008D2AEA" w:rsidRDefault="002D7E26" w:rsidP="002D7E26">
      <w:pPr>
        <w:pStyle w:val="testo20"/>
        <w:rPr>
          <w:b/>
          <w:i/>
          <w:color w:val="000000" w:themeColor="text1"/>
        </w:rPr>
      </w:pPr>
      <w:r w:rsidRPr="0075002C">
        <w:rPr>
          <w:rFonts w:eastAsiaTheme="minorHAnsi"/>
          <w:noProof/>
          <w:lang w:eastAsia="en-US"/>
        </w:rPr>
        <w:t>La prova orale</w:t>
      </w:r>
      <w:r w:rsidRPr="0075002C">
        <w:t xml:space="preserve"> consiste nella lettura di un testo completamente vocalizzato e in una conversazione volta alla verifica della correttezza fonetico-fonologica, della accuratezza grammaticale, della proprietà lessicale e della iniziale capacità interattiva, relativamente alle </w:t>
      </w:r>
      <w:r w:rsidRPr="008D2AEA">
        <w:rPr>
          <w:color w:val="000000" w:themeColor="text1"/>
        </w:rPr>
        <w:t>situazioni comunicative della vita comune.</w:t>
      </w:r>
    </w:p>
    <w:p w14:paraId="4BFF4315" w14:textId="77777777" w:rsidR="002D7E26" w:rsidRPr="00D12488" w:rsidRDefault="002D7E26" w:rsidP="002D7E26">
      <w:pPr>
        <w:keepNext/>
        <w:spacing w:before="240" w:after="120"/>
        <w:rPr>
          <w:b/>
          <w:i/>
          <w:sz w:val="18"/>
        </w:rPr>
      </w:pPr>
      <w:r w:rsidRPr="00D12488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</w:t>
      </w:r>
      <w:r w:rsidRPr="00F519BB">
        <w:rPr>
          <w:b/>
          <w:i/>
          <w:sz w:val="18"/>
        </w:rPr>
        <w:t>E PREREQUISITI</w:t>
      </w:r>
    </w:p>
    <w:p w14:paraId="1ABD6635" w14:textId="77777777" w:rsidR="002D7E26" w:rsidRPr="0075002C" w:rsidRDefault="002D7E26" w:rsidP="002D7E26">
      <w:pPr>
        <w:pStyle w:val="testo20"/>
        <w:rPr>
          <w:rFonts w:eastAsiaTheme="minorHAnsi"/>
          <w:noProof/>
          <w:lang w:eastAsia="en-US"/>
        </w:rPr>
      </w:pPr>
      <w:r w:rsidRPr="0075002C">
        <w:rPr>
          <w:rFonts w:eastAsiaTheme="minorHAnsi"/>
          <w:noProof/>
          <w:lang w:eastAsia="en-US"/>
        </w:rPr>
        <w:t>Poiché il corso si rivolge a principianti, non sono previsti prerequisiti. Per l’acquisizione delle competenze linguistiche necessarie al superamento delle prove di esame scitta e orale si richiede la disponibilità a frequentare regolarmente le lezioni svolgendo le attività e gli esercizi indicati dai Docenti.</w:t>
      </w:r>
    </w:p>
    <w:p w14:paraId="6F06B01B" w14:textId="77777777" w:rsidR="002D7E26" w:rsidRPr="0075002C" w:rsidRDefault="002D7E26" w:rsidP="002D7E26">
      <w:pPr>
        <w:ind w:firstLine="284"/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E9EE621" w14:textId="77777777" w:rsidR="002D7E26" w:rsidRPr="0075002C" w:rsidRDefault="002D7E26" w:rsidP="002D7E26">
      <w:pPr>
        <w:spacing w:before="120"/>
        <w:ind w:firstLine="284"/>
        <w:rPr>
          <w:rFonts w:ascii="Times" w:eastAsiaTheme="minorHAnsi" w:hAnsi="Times" w:cstheme="minorBidi"/>
          <w:i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i/>
          <w:noProof/>
          <w:sz w:val="18"/>
          <w:szCs w:val="22"/>
          <w:lang w:eastAsia="en-US"/>
        </w:rPr>
        <w:t>Orario e luogo di ricevimento</w:t>
      </w:r>
    </w:p>
    <w:p w14:paraId="60EF7699" w14:textId="77777777" w:rsidR="002D7E26" w:rsidRPr="008D2AEA" w:rsidRDefault="002D7E26" w:rsidP="002D7E26">
      <w:pPr>
        <w:pStyle w:val="testo20"/>
        <w:rPr>
          <w:color w:val="000000" w:themeColor="text1"/>
          <w:lang w:bidi="ar-EG"/>
        </w:rPr>
      </w:pPr>
      <w:r w:rsidRPr="008D2AEA">
        <w:rPr>
          <w:color w:val="000000" w:themeColor="text1"/>
        </w:rPr>
        <w:t xml:space="preserve">I Docenti ricevono gli studenti al termine delle lezioni </w:t>
      </w:r>
      <w:r w:rsidRPr="008D2AEA">
        <w:rPr>
          <w:color w:val="000000" w:themeColor="text1"/>
          <w:lang w:bidi="ar-EG"/>
        </w:rPr>
        <w:t>e nell’orario di ricevimento comunicato a lezione e reso disponibile nella pagina web, presso l’Aula ricevimento studenti in Via Morozzo della Rocca 2/A, II piano.</w:t>
      </w:r>
    </w:p>
    <w:p w14:paraId="6B94F7C2" w14:textId="77777777" w:rsidR="002D7E26" w:rsidRPr="006F4AFB" w:rsidRDefault="002D7E26" w:rsidP="006F4AFB">
      <w:pPr>
        <w:pStyle w:val="Testo2"/>
      </w:pPr>
    </w:p>
    <w:sectPr w:rsidR="002D7E26" w:rsidRPr="006F4A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61D75" w14:textId="77777777" w:rsidR="00557560" w:rsidRDefault="00557560" w:rsidP="00557560">
      <w:pPr>
        <w:spacing w:line="240" w:lineRule="auto"/>
      </w:pPr>
      <w:r>
        <w:separator/>
      </w:r>
    </w:p>
  </w:endnote>
  <w:endnote w:type="continuationSeparator" w:id="0">
    <w:p w14:paraId="4B7EB376" w14:textId="77777777" w:rsidR="00557560" w:rsidRDefault="00557560" w:rsidP="00557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C156E" w14:textId="77777777" w:rsidR="00557560" w:rsidRDefault="00557560" w:rsidP="00557560">
      <w:pPr>
        <w:spacing w:line="240" w:lineRule="auto"/>
      </w:pPr>
      <w:r>
        <w:separator/>
      </w:r>
    </w:p>
  </w:footnote>
  <w:footnote w:type="continuationSeparator" w:id="0">
    <w:p w14:paraId="76A2C820" w14:textId="77777777" w:rsidR="00557560" w:rsidRDefault="00557560" w:rsidP="00557560">
      <w:pPr>
        <w:spacing w:line="240" w:lineRule="auto"/>
      </w:pPr>
      <w:r>
        <w:continuationSeparator/>
      </w:r>
    </w:p>
  </w:footnote>
  <w:footnote w:id="1">
    <w:p w14:paraId="03519123" w14:textId="5F45BCF3" w:rsidR="00557560" w:rsidRDefault="005575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FEE5DF2" w14:textId="15AD65EB" w:rsidR="00734C9B" w:rsidRDefault="00734C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A"/>
    <w:rsid w:val="00091DDA"/>
    <w:rsid w:val="00101CDA"/>
    <w:rsid w:val="00173384"/>
    <w:rsid w:val="00187B99"/>
    <w:rsid w:val="002014DD"/>
    <w:rsid w:val="002D5E17"/>
    <w:rsid w:val="002D7E26"/>
    <w:rsid w:val="004D1217"/>
    <w:rsid w:val="004D6008"/>
    <w:rsid w:val="00557560"/>
    <w:rsid w:val="0062511A"/>
    <w:rsid w:val="00640794"/>
    <w:rsid w:val="006F0FF9"/>
    <w:rsid w:val="006F1772"/>
    <w:rsid w:val="006F4AFB"/>
    <w:rsid w:val="00734C9B"/>
    <w:rsid w:val="00835E85"/>
    <w:rsid w:val="00847FDB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12687"/>
    <w:rsid w:val="00D404F2"/>
    <w:rsid w:val="00E607E6"/>
    <w:rsid w:val="00E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F4AF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6F4A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575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7560"/>
  </w:style>
  <w:style w:type="character" w:styleId="Rimandonotaapidipagina">
    <w:name w:val="footnote reference"/>
    <w:basedOn w:val="Carpredefinitoparagrafo"/>
    <w:rsid w:val="00557560"/>
    <w:rPr>
      <w:vertAlign w:val="superscript"/>
    </w:rPr>
  </w:style>
  <w:style w:type="character" w:customStyle="1" w:styleId="Testo1Carattere">
    <w:name w:val="Testo 1 Carattere"/>
    <w:link w:val="Testo1"/>
    <w:locked/>
    <w:rsid w:val="002D7E26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2D7E26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7E2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734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4C9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734C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F4AF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6F4A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575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7560"/>
  </w:style>
  <w:style w:type="character" w:styleId="Rimandonotaapidipagina">
    <w:name w:val="footnote reference"/>
    <w:basedOn w:val="Carpredefinitoparagrafo"/>
    <w:rsid w:val="00557560"/>
    <w:rPr>
      <w:vertAlign w:val="superscript"/>
    </w:rPr>
  </w:style>
  <w:style w:type="character" w:customStyle="1" w:styleId="Testo1Carattere">
    <w:name w:val="Testo 1 Carattere"/>
    <w:link w:val="Testo1"/>
    <w:locked/>
    <w:rsid w:val="002D7E26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2D7E26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7E2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734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4C9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734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tino-diez/introduzione-alla-lingua-araba-origini-storia-attualita-9788834334225-54756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wael-farouq-elisa-ferrero/le-parole-in-azione-9788834342367-6886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olivier-durand/dialettologia-araba-9788843091294-52977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urand-olivier-garbini-giovanni/introduzione-alle-lingue-semitiche-9788839405067-2092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martino-diez/introduzione-alla-lingua-araba-origini-storia-attualita-9788834334225-54756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4D3D-A4B0-4C28-9FF0-A6B04C4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4</Pages>
  <Words>963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2021-05-13T08:52:00Z</dcterms:created>
  <dcterms:modified xsi:type="dcterms:W3CDTF">2021-07-20T09:01:00Z</dcterms:modified>
</cp:coreProperties>
</file>