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CF83" w14:textId="77777777" w:rsidR="00164C08" w:rsidRDefault="00E4775C">
      <w:pPr>
        <w:pStyle w:val="Titolo1"/>
      </w:pPr>
      <w:r>
        <w:t>Media e reti sociali (c</w:t>
      </w:r>
      <w:bookmarkStart w:id="0" w:name="_GoBack"/>
      <w:bookmarkEnd w:id="0"/>
      <w:r>
        <w:t xml:space="preserve">on </w:t>
      </w:r>
      <w:proofErr w:type="spellStart"/>
      <w:r>
        <w:t>mod</w:t>
      </w:r>
      <w:proofErr w:type="spellEnd"/>
      <w:r>
        <w:t>. di metodi digitali per l’analisi)</w:t>
      </w:r>
    </w:p>
    <w:p w14:paraId="7F3ECF84" w14:textId="77777777" w:rsidR="00164C08" w:rsidRDefault="00E4775C">
      <w:pPr>
        <w:pStyle w:val="Titolo2"/>
      </w:pPr>
      <w:r>
        <w:t>Prof. Gaia Amadori; Prof. Elisabetta Locatelli</w:t>
      </w:r>
    </w:p>
    <w:p w14:paraId="7F3ECF86" w14:textId="0F4D5CA0" w:rsidR="00164C08" w:rsidRPr="008E7595" w:rsidRDefault="00E4775C" w:rsidP="008E75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3ECF87" w14:textId="77777777" w:rsidR="00164C08" w:rsidRDefault="00E4775C">
      <w:r>
        <w:t>Le piattaforme di social media hanno un impatto sempre più rilevante all’interno della società e dei processi comunicativi contemporanei. Il corso intende presentare agli studenti i più avanzati modelli teorici e gli strumenti interpretativi per l’analisi dei social media e del loro rapporto con la società contemporanea, con una particolare attenzione alla riconfigurazione dei modelli comunicativi istituzionali e nel settore della salute.</w:t>
      </w:r>
    </w:p>
    <w:p w14:paraId="7F3ECF89" w14:textId="2C276DA1" w:rsidR="00164C08" w:rsidRDefault="00E4775C">
      <w:r>
        <w:t xml:space="preserve">Al termine del corso lo studente dovrà essere in grado di: </w:t>
      </w:r>
    </w:p>
    <w:p w14:paraId="7F3ECF8A" w14:textId="64C82C35" w:rsidR="00164C08" w:rsidRDefault="00E4775C">
      <w:pPr>
        <w:pStyle w:val="Paragrafoelenco"/>
        <w:numPr>
          <w:ilvl w:val="0"/>
          <w:numId w:val="1"/>
        </w:numPr>
      </w:pPr>
      <w:r>
        <w:t>Conoscenza e capacità</w:t>
      </w:r>
      <w:r w:rsidR="00AA7679">
        <w:t xml:space="preserve"> </w:t>
      </w:r>
      <w:r>
        <w:t>di comprensione</w:t>
      </w:r>
      <w:r w:rsidR="008C0799">
        <w:t>: r</w:t>
      </w:r>
      <w:r>
        <w:t>iconoscere le diverse teorie sociologiche che spiegano i processi sociali alla base dei social media; comprendere le logiche delle piattaforme di social media; individuare le diverse modalità di comunicazione sui social media con particolare riferimento alla comunicazione istituzionale e alla comunicazione della salute/del benessere</w:t>
      </w:r>
      <w:r w:rsidR="007A36AC">
        <w:t xml:space="preserve">; comprendere </w:t>
      </w:r>
      <w:r w:rsidR="008C0799">
        <w:t>funzioni e metodi della Social Network Analysis</w:t>
      </w:r>
      <w:r>
        <w:t xml:space="preserve">. </w:t>
      </w:r>
    </w:p>
    <w:p w14:paraId="7F3ECF8B" w14:textId="34808ED9" w:rsidR="00164C08" w:rsidRDefault="00E4775C">
      <w:pPr>
        <w:pStyle w:val="Paragrafoelenco"/>
        <w:numPr>
          <w:ilvl w:val="0"/>
          <w:numId w:val="1"/>
        </w:numPr>
      </w:pPr>
      <w:r>
        <w:t>Conoscenza e capacità di comprensione applicate</w:t>
      </w:r>
      <w:r w:rsidR="008C0799">
        <w:t>:</w:t>
      </w:r>
      <w:r>
        <w:t xml:space="preserve"> </w:t>
      </w:r>
      <w:r w:rsidR="008C0799">
        <w:t>v</w:t>
      </w:r>
      <w:r>
        <w:t xml:space="preserve">alutare l’azione delle logiche delle piattaforme sulle dinamiche di comunicazione; ideare ed organizzare una campagna di comunicazione sui social media individuando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Performace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e benchmark</w:t>
      </w:r>
      <w:r w:rsidR="00CD68FA">
        <w:t xml:space="preserve">; </w:t>
      </w:r>
      <w:r w:rsidR="00713FD2">
        <w:t>eseguire</w:t>
      </w:r>
      <w:r w:rsidR="00CD68FA">
        <w:t xml:space="preserve"> </w:t>
      </w:r>
      <w:r w:rsidR="00713FD2">
        <w:t>S</w:t>
      </w:r>
      <w:r w:rsidR="00CD68FA">
        <w:t>o</w:t>
      </w:r>
      <w:r w:rsidR="00713FD2">
        <w:t>cial Network Analysis applicate ai social media</w:t>
      </w:r>
      <w:r>
        <w:t xml:space="preserve">. </w:t>
      </w:r>
    </w:p>
    <w:p w14:paraId="7F3ECF8C" w14:textId="01895478" w:rsidR="00164C08" w:rsidRDefault="00E4775C">
      <w:pPr>
        <w:pStyle w:val="Paragrafoelenco"/>
        <w:numPr>
          <w:ilvl w:val="0"/>
          <w:numId w:val="1"/>
        </w:numPr>
      </w:pPr>
      <w:r>
        <w:t>Autonomia di Giudizio</w:t>
      </w:r>
      <w:r w:rsidR="008C0799">
        <w:t>: i</w:t>
      </w:r>
      <w:r>
        <w:t xml:space="preserve">ndividuare e riconoscere le strutture motivazionali che sottendono l’uso e il consumo dei social media; valutare il rapporto risorse/obiettivi di una strategia comunicativa imperniata sui social media.  </w:t>
      </w:r>
    </w:p>
    <w:p w14:paraId="7F3ECF8D" w14:textId="3DDA56E2" w:rsidR="00164C08" w:rsidRDefault="00E4775C">
      <w:pPr>
        <w:pStyle w:val="Paragrafoelenco"/>
        <w:numPr>
          <w:ilvl w:val="0"/>
          <w:numId w:val="1"/>
        </w:numPr>
      </w:pPr>
      <w:r>
        <w:t>Abilità Comunicative</w:t>
      </w:r>
      <w:r w:rsidR="008C0799">
        <w:t xml:space="preserve">: </w:t>
      </w:r>
      <w:r>
        <w:t xml:space="preserve">Strutturare una presentazione di un progetto di comunicazione. </w:t>
      </w:r>
    </w:p>
    <w:p w14:paraId="7F3ECF8F" w14:textId="57CEB15D" w:rsidR="00164C08" w:rsidRDefault="00E4775C" w:rsidP="008E7595">
      <w:pPr>
        <w:pStyle w:val="Paragrafoelenco"/>
        <w:numPr>
          <w:ilvl w:val="0"/>
          <w:numId w:val="1"/>
        </w:numPr>
      </w:pPr>
      <w:r>
        <w:t>Capacità di Apprendimento</w:t>
      </w:r>
      <w:r w:rsidR="008C0799">
        <w:t>: a</w:t>
      </w:r>
      <w:r>
        <w:t xml:space="preserve">cquisire una metodologia di lavoro legata alla gestione del flusso di lavoro, alla gestione dei dati, 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, alla gestione delle informazioni e curiosità.  </w:t>
      </w:r>
    </w:p>
    <w:p w14:paraId="7F3ECF90" w14:textId="77777777" w:rsidR="00164C08" w:rsidRDefault="00E4775C" w:rsidP="008E7595">
      <w:pPr>
        <w:spacing w:before="120"/>
      </w:pPr>
      <w:r>
        <w:t>In particolare</w:t>
      </w:r>
    </w:p>
    <w:p w14:paraId="7F3ECF91" w14:textId="77777777" w:rsidR="00164C08" w:rsidRDefault="00E4775C">
      <w:r>
        <w:t xml:space="preserve">Nella </w:t>
      </w:r>
      <w:r>
        <w:rPr>
          <w:i/>
          <w:iCs/>
        </w:rPr>
        <w:t>Parte 1</w:t>
      </w:r>
      <w:r>
        <w:t xml:space="preserve"> (prof.ssa Elisabetta Locatelli)</w:t>
      </w:r>
    </w:p>
    <w:p w14:paraId="7F3ECF92" w14:textId="16274EA0" w:rsidR="00164C08" w:rsidRDefault="00E4775C">
      <w:r>
        <w:lastRenderedPageBreak/>
        <w:t>Lo studente verrà introdotto alle logiche dell’agire social</w:t>
      </w:r>
      <w:r w:rsidR="00C93EEF">
        <w:t>e</w:t>
      </w:r>
      <w:r>
        <w:t xml:space="preserve"> nei social media; alle logiche delle piattaforme di social media; alla comprensione delle dinamiche di influenza sociale nei social media. Il modulo approfondirà inoltre le logiche di comunicazione sui social media, in particolare legate all’ambito della comunicazione istituzionale e della comunicazione della salute e del benessere. </w:t>
      </w:r>
    </w:p>
    <w:p w14:paraId="7F3ECF93" w14:textId="77777777" w:rsidR="00164C08" w:rsidRDefault="00164C08"/>
    <w:p w14:paraId="7F3ECF94" w14:textId="77777777" w:rsidR="00164C08" w:rsidRDefault="00E4775C">
      <w:pPr>
        <w:tabs>
          <w:tab w:val="left" w:pos="0"/>
        </w:tabs>
      </w:pPr>
      <w:r>
        <w:t xml:space="preserve">Nella </w:t>
      </w:r>
      <w:r>
        <w:rPr>
          <w:i/>
          <w:iCs/>
        </w:rPr>
        <w:t>Parte 2</w:t>
      </w:r>
      <w:r>
        <w:t xml:space="preserve"> (prof.ssa Gaia Amadori) </w:t>
      </w:r>
    </w:p>
    <w:p w14:paraId="7F3ECF96" w14:textId="32F81065" w:rsidR="00164C08" w:rsidRDefault="00E4775C" w:rsidP="008E7595">
      <w:pPr>
        <w:tabs>
          <w:tab w:val="left" w:pos="0"/>
        </w:tabs>
      </w:pPr>
      <w:r>
        <w:t>Lo studente approfondirà concetti e metodi della Social Network Analysis applicandoli allo studio dei flussi comunicativi nelle reti sociali e nel web. Una particolare attenzione sarà destinata allo studio delle geografie di relazioni fra gruppi, accoun</w:t>
      </w:r>
      <w:r w:rsidR="008E7595">
        <w:t>t e contenuti sui social media.</w:t>
      </w:r>
    </w:p>
    <w:p w14:paraId="7F3ECF97" w14:textId="77777777" w:rsidR="00164C08" w:rsidRDefault="00E477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F3ECF98" w14:textId="662BAF48" w:rsidR="00164C08" w:rsidRDefault="00E4775C">
      <w:pPr>
        <w:spacing w:before="120"/>
        <w:ind w:left="284" w:hanging="284"/>
      </w:pPr>
      <w:r>
        <w:t xml:space="preserve">Nella </w:t>
      </w:r>
      <w:r>
        <w:rPr>
          <w:i/>
          <w:iCs/>
        </w:rPr>
        <w:t>Parte 1</w:t>
      </w:r>
      <w:r>
        <w:t xml:space="preserve"> (prof.ssa Elisabetta Locatelli)</w:t>
      </w:r>
    </w:p>
    <w:p w14:paraId="7F3ECF99" w14:textId="77777777" w:rsidR="00164C08" w:rsidRDefault="00E4775C">
      <w:r>
        <w:t>Il primo modulo si propone di analizzare dal punto di vista teorico i meccanismi sociali dei social media e i principi operativi in base ai quali ideare, predisporre, gestire e analizzare campagne di comunicazione sui social media. In particolare, il modulo focalizzerà sui seguenti argomenti:</w:t>
      </w:r>
    </w:p>
    <w:p w14:paraId="7F3ECF9A" w14:textId="77777777" w:rsidR="00164C08" w:rsidRDefault="00E4775C">
      <w:pPr>
        <w:pStyle w:val="Paragrafoelenco"/>
        <w:numPr>
          <w:ilvl w:val="0"/>
          <w:numId w:val="2"/>
        </w:numPr>
      </w:pPr>
      <w:r>
        <w:t xml:space="preserve">Social media: scenario, logiche sociali, specificità delle piattaforme. </w:t>
      </w:r>
    </w:p>
    <w:p w14:paraId="7F3ECF9B" w14:textId="77777777" w:rsidR="00164C08" w:rsidRDefault="00E4775C">
      <w:pPr>
        <w:pStyle w:val="Paragrafoelenco"/>
        <w:numPr>
          <w:ilvl w:val="0"/>
          <w:numId w:val="2"/>
        </w:numPr>
      </w:pPr>
      <w:r>
        <w:t xml:space="preserve">Social media e comunicazione della salute e del benessere: scenari e logiche. </w:t>
      </w:r>
    </w:p>
    <w:p w14:paraId="7F3ECF9C" w14:textId="77777777" w:rsidR="00164C08" w:rsidRDefault="00E4775C">
      <w:pPr>
        <w:pStyle w:val="Paragrafoelenco"/>
        <w:numPr>
          <w:ilvl w:val="0"/>
          <w:numId w:val="2"/>
        </w:numPr>
      </w:pPr>
      <w:r>
        <w:t xml:space="preserve">Social media e processi di influenza sociale: teorie e modelli. </w:t>
      </w:r>
    </w:p>
    <w:p w14:paraId="7F3ECF9E" w14:textId="6B97D735" w:rsidR="00164C08" w:rsidRDefault="00E4775C" w:rsidP="008E7595">
      <w:pPr>
        <w:pStyle w:val="Paragrafoelenco"/>
        <w:numPr>
          <w:ilvl w:val="0"/>
          <w:numId w:val="2"/>
        </w:numPr>
      </w:pPr>
      <w:r>
        <w:t xml:space="preserve">Strategia: predisposizione di una strategia di comunicazione sui social media (piano editoriale, engagement degli utenti, </w:t>
      </w:r>
      <w:proofErr w:type="spellStart"/>
      <w:r>
        <w:t>influencer</w:t>
      </w:r>
      <w:proofErr w:type="spellEnd"/>
      <w:r>
        <w:t xml:space="preserve"> engagement).  </w:t>
      </w:r>
    </w:p>
    <w:p w14:paraId="7F3ECF9F" w14:textId="77777777" w:rsidR="00164C08" w:rsidRDefault="00E4775C" w:rsidP="008E7595">
      <w:pPr>
        <w:spacing w:before="120"/>
      </w:pPr>
      <w:r>
        <w:t xml:space="preserve">Il modulo è completato da esercitazioni operative di Social Media Management dedicate alla produzione e gestione dei contenuti sui social media. </w:t>
      </w:r>
    </w:p>
    <w:p w14:paraId="7F3ECFA1" w14:textId="0584CEF4" w:rsidR="00164C08" w:rsidRDefault="00E4775C">
      <w:r>
        <w:t xml:space="preserve">Nella prima parte verranno inoltre presentati e discussi progetti di comunicazione di rilievo. La didattica si avvarrà inoltre di progetti. </w:t>
      </w:r>
    </w:p>
    <w:p w14:paraId="7F3ECFA2" w14:textId="0B4E9520" w:rsidR="00164C08" w:rsidRDefault="00E4775C">
      <w:pPr>
        <w:spacing w:before="120"/>
      </w:pPr>
      <w:r>
        <w:t>Nella</w:t>
      </w:r>
      <w:r>
        <w:rPr>
          <w:i/>
          <w:iCs/>
        </w:rPr>
        <w:t xml:space="preserve"> Parte 2</w:t>
      </w:r>
      <w:r>
        <w:rPr>
          <w:i/>
        </w:rPr>
        <w:t xml:space="preserve"> </w:t>
      </w:r>
      <w:r>
        <w:t>(Prof.ssa Gaia Amadori)</w:t>
      </w:r>
    </w:p>
    <w:p w14:paraId="7F3ECFA6" w14:textId="210ECBF1" w:rsidR="00164C08" w:rsidRDefault="00E4775C" w:rsidP="008E7595">
      <w:pPr>
        <w:tabs>
          <w:tab w:val="left" w:pos="0"/>
        </w:tabs>
      </w:pPr>
      <w:r>
        <w:t xml:space="preserve">Il secondo modulo si propone di esaminare i flussi comunicativi nelle reti sociali, sul web e sui social media attraverso modelli semplificati tesi a visualizzare e ricostruire la geografia delle relazioni analizzandone forma, traiettorie evolutive e influenze reciproche. A tal fine verrà approfondito e adoperato il software per l’analisi dati </w:t>
      </w:r>
      <w:proofErr w:type="spellStart"/>
      <w:r>
        <w:t>Gephi</w:t>
      </w:r>
      <w:proofErr w:type="spellEnd"/>
      <w:r>
        <w:t>.</w:t>
      </w:r>
    </w:p>
    <w:p w14:paraId="7F3ECFA7" w14:textId="77777777" w:rsidR="00164C08" w:rsidRDefault="00E477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F3ECFA9" w14:textId="1362AAA7" w:rsidR="00164C08" w:rsidRDefault="00E4775C" w:rsidP="008E7595">
      <w:pPr>
        <w:pStyle w:val="Testo1"/>
      </w:pPr>
      <w:r>
        <w:rPr>
          <w:i/>
          <w:iCs/>
        </w:rPr>
        <w:t>Parte 1</w:t>
      </w:r>
      <w:r>
        <w:t xml:space="preserve"> (prof.ssa Elisabetta Locatelli):</w:t>
      </w:r>
    </w:p>
    <w:p w14:paraId="7F3ECFAA" w14:textId="68F082E4" w:rsidR="00164C08" w:rsidRDefault="008E7595" w:rsidP="008E7595">
      <w:pPr>
        <w:pStyle w:val="Testo1"/>
        <w:spacing w:before="120"/>
        <w:rPr>
          <w:lang w:val="en-US"/>
        </w:rPr>
      </w:pPr>
      <w:r w:rsidRPr="008E7595">
        <w:rPr>
          <w:smallCaps/>
          <w:sz w:val="16"/>
          <w:lang w:val="en-US"/>
        </w:rPr>
        <w:t>K. Cotter</w:t>
      </w:r>
      <w:r>
        <w:rPr>
          <w:smallCaps/>
          <w:lang w:val="en-US"/>
        </w:rPr>
        <w:t>,</w:t>
      </w:r>
      <w:r w:rsidR="00E4775C">
        <w:rPr>
          <w:lang w:val="en-US"/>
        </w:rPr>
        <w:t xml:space="preserve"> </w:t>
      </w:r>
      <w:r w:rsidR="00E4775C" w:rsidRPr="008E7595">
        <w:rPr>
          <w:i/>
          <w:lang w:val="en-US"/>
        </w:rPr>
        <w:t>Playing the visibility game: How digital influencers and algorithms negotiate influence on Instagram</w:t>
      </w:r>
      <w:r w:rsidR="00E4775C">
        <w:rPr>
          <w:lang w:val="en-US"/>
        </w:rPr>
        <w:t xml:space="preserve">. </w:t>
      </w:r>
      <w:r w:rsidR="00E4775C" w:rsidRPr="008E7595">
        <w:rPr>
          <w:lang w:val="en-US"/>
        </w:rPr>
        <w:t>New Media &amp; Society</w:t>
      </w:r>
      <w:r w:rsidR="00E4775C">
        <w:rPr>
          <w:lang w:val="en-US"/>
        </w:rPr>
        <w:t>, 21</w:t>
      </w:r>
      <w:r w:rsidR="00E4775C">
        <w:rPr>
          <w:i/>
          <w:lang w:val="en-US"/>
        </w:rPr>
        <w:t>(4)</w:t>
      </w:r>
      <w:r w:rsidR="00E4775C">
        <w:rPr>
          <w:lang w:val="en-US"/>
        </w:rPr>
        <w:t>, pp. 895-913</w:t>
      </w:r>
      <w:r>
        <w:rPr>
          <w:lang w:val="en-US"/>
        </w:rPr>
        <w:t>, 2019</w:t>
      </w:r>
      <w:r w:rsidR="00E4775C">
        <w:rPr>
          <w:lang w:val="en-US"/>
        </w:rPr>
        <w:t xml:space="preserve">. </w:t>
      </w:r>
    </w:p>
    <w:p w14:paraId="7F3ECFAB" w14:textId="5286A5F9" w:rsidR="00164C08" w:rsidRDefault="008E7595" w:rsidP="008E7595">
      <w:pPr>
        <w:pStyle w:val="Testo1"/>
        <w:rPr>
          <w:smallCaps/>
          <w:lang w:val="en-US"/>
        </w:rPr>
      </w:pPr>
      <w:r>
        <w:rPr>
          <w:smallCaps/>
          <w:sz w:val="16"/>
          <w:lang w:val="en-US"/>
        </w:rPr>
        <w:t xml:space="preserve">D.B. </w:t>
      </w:r>
      <w:proofErr w:type="spellStart"/>
      <w:r>
        <w:rPr>
          <w:smallCaps/>
          <w:sz w:val="16"/>
          <w:lang w:val="en-US"/>
        </w:rPr>
        <w:t>Nieborg</w:t>
      </w:r>
      <w:proofErr w:type="spellEnd"/>
      <w:r>
        <w:rPr>
          <w:smallCaps/>
          <w:sz w:val="16"/>
          <w:lang w:val="en-US"/>
        </w:rPr>
        <w:t>-</w:t>
      </w:r>
      <w:r w:rsidRPr="008E7595">
        <w:rPr>
          <w:smallCaps/>
          <w:sz w:val="16"/>
          <w:lang w:val="en-US"/>
        </w:rPr>
        <w:t xml:space="preserve">T. </w:t>
      </w:r>
      <w:proofErr w:type="spellStart"/>
      <w:r w:rsidRPr="008E7595">
        <w:rPr>
          <w:smallCaps/>
          <w:sz w:val="16"/>
          <w:lang w:val="en-US"/>
        </w:rPr>
        <w:t>Poell</w:t>
      </w:r>
      <w:proofErr w:type="spellEnd"/>
      <w:r>
        <w:rPr>
          <w:smallCaps/>
          <w:lang w:val="en-US"/>
        </w:rPr>
        <w:t>,</w:t>
      </w:r>
      <w:r w:rsidR="00E4775C">
        <w:rPr>
          <w:smallCaps/>
          <w:lang w:val="en-US"/>
        </w:rPr>
        <w:t xml:space="preserve"> (2018). </w:t>
      </w:r>
      <w:r w:rsidR="00E4775C" w:rsidRPr="008E7595">
        <w:rPr>
          <w:i/>
          <w:lang w:val="en-US"/>
        </w:rPr>
        <w:t>The Platformization of Cultural Production: Theorizing the Contingent Cultural Commodity</w:t>
      </w:r>
      <w:r w:rsidR="00E4775C">
        <w:rPr>
          <w:lang w:val="en-US"/>
        </w:rPr>
        <w:t xml:space="preserve">, </w:t>
      </w:r>
      <w:r w:rsidR="00E4775C" w:rsidRPr="008E7595">
        <w:rPr>
          <w:iCs/>
          <w:lang w:val="en-US"/>
        </w:rPr>
        <w:t>New Media &amp; Society</w:t>
      </w:r>
      <w:r w:rsidR="00E4775C">
        <w:rPr>
          <w:smallCaps/>
          <w:lang w:val="en-US"/>
        </w:rPr>
        <w:t xml:space="preserve">, 20, 11, </w:t>
      </w:r>
      <w:r w:rsidR="00E4775C">
        <w:rPr>
          <w:lang w:val="en-US"/>
        </w:rPr>
        <w:t xml:space="preserve">pp. </w:t>
      </w:r>
      <w:r w:rsidR="00E4775C">
        <w:rPr>
          <w:rFonts w:ascii="Calibri" w:hAnsi="Calibri" w:cs="Calibri"/>
          <w:lang w:val="en-US"/>
        </w:rPr>
        <w:t>﻿</w:t>
      </w:r>
      <w:r w:rsidR="00E4775C">
        <w:rPr>
          <w:lang w:val="en-US"/>
        </w:rPr>
        <w:t>4275</w:t>
      </w:r>
      <w:r w:rsidR="00E4775C">
        <w:rPr>
          <w:smallCaps/>
          <w:lang w:val="en-US"/>
        </w:rPr>
        <w:t xml:space="preserve">-4292. </w:t>
      </w:r>
      <w:proofErr w:type="spellStart"/>
      <w:r w:rsidR="00E4775C">
        <w:rPr>
          <w:smallCaps/>
          <w:lang w:val="en-US"/>
        </w:rPr>
        <w:t>doi</w:t>
      </w:r>
      <w:proofErr w:type="spellEnd"/>
      <w:r w:rsidR="00E4775C">
        <w:rPr>
          <w:smallCaps/>
          <w:lang w:val="en-US"/>
        </w:rPr>
        <w:t xml:space="preserve">: </w:t>
      </w:r>
      <w:r w:rsidR="00E4775C">
        <w:rPr>
          <w:rFonts w:ascii="Calibri" w:hAnsi="Calibri" w:cs="Calibri"/>
          <w:smallCaps/>
          <w:lang w:val="en-US"/>
        </w:rPr>
        <w:t>﻿</w:t>
      </w:r>
      <w:r w:rsidR="00E4775C">
        <w:rPr>
          <w:smallCaps/>
          <w:lang w:val="en-US"/>
        </w:rPr>
        <w:t>10.1177/1461444818769694.</w:t>
      </w:r>
    </w:p>
    <w:p w14:paraId="7F3ECFAC" w14:textId="090CA9C9" w:rsidR="00164C08" w:rsidRDefault="008E7595" w:rsidP="008E7595">
      <w:pPr>
        <w:pStyle w:val="Testo1"/>
        <w:rPr>
          <w:lang w:val="en-US"/>
        </w:rPr>
      </w:pPr>
      <w:r w:rsidRPr="008E7595">
        <w:rPr>
          <w:smallCaps/>
          <w:sz w:val="16"/>
          <w:lang w:val="en-US"/>
        </w:rPr>
        <w:t xml:space="preserve">L. </w:t>
      </w:r>
      <w:proofErr w:type="spellStart"/>
      <w:r>
        <w:rPr>
          <w:smallCaps/>
          <w:sz w:val="16"/>
          <w:lang w:val="en-US"/>
        </w:rPr>
        <w:t>Fernández</w:t>
      </w:r>
      <w:proofErr w:type="spellEnd"/>
      <w:r>
        <w:rPr>
          <w:smallCaps/>
          <w:sz w:val="16"/>
          <w:lang w:val="en-US"/>
        </w:rPr>
        <w:t>-</w:t>
      </w:r>
      <w:proofErr w:type="spellStart"/>
      <w:r>
        <w:rPr>
          <w:smallCaps/>
          <w:sz w:val="16"/>
          <w:lang w:val="en-US"/>
        </w:rPr>
        <w:t>Luque</w:t>
      </w:r>
      <w:proofErr w:type="spellEnd"/>
      <w:r>
        <w:rPr>
          <w:smallCaps/>
          <w:sz w:val="16"/>
          <w:lang w:val="en-US"/>
        </w:rPr>
        <w:t>-</w:t>
      </w:r>
      <w:r w:rsidRPr="008E7595">
        <w:rPr>
          <w:smallCaps/>
          <w:sz w:val="16"/>
          <w:lang w:val="en-US"/>
        </w:rPr>
        <w:t xml:space="preserve">T. </w:t>
      </w:r>
      <w:proofErr w:type="spellStart"/>
      <w:r w:rsidRPr="008E7595">
        <w:rPr>
          <w:smallCaps/>
          <w:sz w:val="16"/>
          <w:lang w:val="en-US"/>
        </w:rPr>
        <w:t>Bau</w:t>
      </w:r>
      <w:proofErr w:type="spellEnd"/>
      <w:r w:rsidRPr="008E7595">
        <w:rPr>
          <w:smallCaps/>
          <w:lang w:val="en-US"/>
        </w:rPr>
        <w:t>,</w:t>
      </w:r>
      <w:r w:rsidR="00E4775C" w:rsidRPr="008E7595">
        <w:rPr>
          <w:lang w:val="en-US"/>
        </w:rPr>
        <w:t xml:space="preserve"> </w:t>
      </w:r>
      <w:r w:rsidR="00E4775C" w:rsidRPr="008E7595">
        <w:rPr>
          <w:i/>
          <w:lang w:val="en-US"/>
        </w:rPr>
        <w:t xml:space="preserve">Health and social media: perfect storm of information. </w:t>
      </w:r>
      <w:r w:rsidR="00E4775C" w:rsidRPr="008E7595">
        <w:rPr>
          <w:lang w:val="en-US"/>
        </w:rPr>
        <w:t>Healthcare Informatics Research</w:t>
      </w:r>
      <w:r w:rsidR="00E4775C">
        <w:rPr>
          <w:lang w:val="en-US"/>
        </w:rPr>
        <w:t>, 21</w:t>
      </w:r>
      <w:r w:rsidR="00E4775C">
        <w:rPr>
          <w:i/>
          <w:lang w:val="en-US"/>
        </w:rPr>
        <w:t>(2</w:t>
      </w:r>
      <w:r w:rsidR="00E4775C">
        <w:rPr>
          <w:lang w:val="en-US"/>
        </w:rPr>
        <w:t>), pp. 67-73</w:t>
      </w:r>
      <w:r>
        <w:rPr>
          <w:lang w:val="en-US"/>
        </w:rPr>
        <w:t>, 2015</w:t>
      </w:r>
      <w:r w:rsidR="00E4775C">
        <w:rPr>
          <w:lang w:val="en-US"/>
        </w:rPr>
        <w:t xml:space="preserve">. </w:t>
      </w:r>
    </w:p>
    <w:p w14:paraId="4C17E998" w14:textId="6C159FF8" w:rsidR="00570FBA" w:rsidRDefault="008E7595" w:rsidP="008E7595">
      <w:pPr>
        <w:pStyle w:val="Testo1"/>
        <w:rPr>
          <w:lang w:val="en-US"/>
        </w:rPr>
      </w:pPr>
      <w:r w:rsidRPr="008E7595">
        <w:rPr>
          <w:smallCaps/>
          <w:sz w:val="16"/>
          <w:lang w:val="en-US"/>
        </w:rPr>
        <w:t>E. Locatelli</w:t>
      </w:r>
      <w:r>
        <w:rPr>
          <w:smallCaps/>
          <w:lang w:val="en-US"/>
        </w:rPr>
        <w:t>,</w:t>
      </w:r>
      <w:r w:rsidR="00E4775C">
        <w:rPr>
          <w:lang w:val="en-US"/>
        </w:rPr>
        <w:t xml:space="preserve"> </w:t>
      </w:r>
      <w:r w:rsidR="00E4775C" w:rsidRPr="008E7595">
        <w:rPr>
          <w:i/>
          <w:lang w:val="en-US"/>
        </w:rPr>
        <w:t>Influencers as socio-technical actors: mapping the paths of influence and the traces of the digital influencers’ system in Italy</w:t>
      </w:r>
      <w:r>
        <w:rPr>
          <w:lang w:val="en-US"/>
        </w:rPr>
        <w:t>.</w:t>
      </w:r>
      <w:r w:rsidR="00E4775C">
        <w:rPr>
          <w:lang w:val="en-US"/>
        </w:rPr>
        <w:t xml:space="preserve"> </w:t>
      </w:r>
      <w:r w:rsidR="00E4775C" w:rsidRPr="008E7595">
        <w:rPr>
          <w:iCs/>
          <w:lang w:val="en-US"/>
        </w:rPr>
        <w:t xml:space="preserve">Journal </w:t>
      </w:r>
      <w:proofErr w:type="gramStart"/>
      <w:r w:rsidR="00E4775C" w:rsidRPr="008E7595">
        <w:rPr>
          <w:iCs/>
          <w:lang w:val="en-US"/>
        </w:rPr>
        <w:t>Of</w:t>
      </w:r>
      <w:proofErr w:type="gramEnd"/>
      <w:r w:rsidR="00E4775C" w:rsidRPr="008E7595">
        <w:rPr>
          <w:iCs/>
          <w:lang w:val="en-US"/>
        </w:rPr>
        <w:t xml:space="preserve"> </w:t>
      </w:r>
      <w:proofErr w:type="spellStart"/>
      <w:r w:rsidR="00E4775C" w:rsidRPr="008E7595">
        <w:rPr>
          <w:iCs/>
          <w:lang w:val="en-US"/>
        </w:rPr>
        <w:t>Sociocybernetics</w:t>
      </w:r>
      <w:proofErr w:type="spellEnd"/>
      <w:r w:rsidR="00E4775C">
        <w:rPr>
          <w:lang w:val="en-US"/>
        </w:rPr>
        <w:t>, 2020; 17 (1): 1-18. doi:10.26754/</w:t>
      </w:r>
      <w:proofErr w:type="spellStart"/>
      <w:r w:rsidR="00E4775C">
        <w:rPr>
          <w:lang w:val="en-US"/>
        </w:rPr>
        <w:t>ojs_jos</w:t>
      </w:r>
      <w:proofErr w:type="spellEnd"/>
      <w:r w:rsidR="00E4775C">
        <w:rPr>
          <w:lang w:val="en-US"/>
        </w:rPr>
        <w:t>/jos.202013940.</w:t>
      </w:r>
    </w:p>
    <w:p w14:paraId="7F3ECFAF" w14:textId="08424F7C" w:rsidR="00164C08" w:rsidRDefault="008E7595" w:rsidP="008E7595">
      <w:pPr>
        <w:pStyle w:val="Testo1"/>
        <w:rPr>
          <w:lang w:val="en-US"/>
        </w:rPr>
      </w:pPr>
      <w:r w:rsidRPr="008E7595">
        <w:rPr>
          <w:smallCaps/>
          <w:sz w:val="16"/>
          <w:lang w:val="en-US"/>
        </w:rPr>
        <w:t>S. Moorh</w:t>
      </w:r>
      <w:r>
        <w:rPr>
          <w:smallCaps/>
          <w:sz w:val="16"/>
          <w:lang w:val="en-US"/>
        </w:rPr>
        <w:t>ead-D. Hazlett-</w:t>
      </w:r>
      <w:r w:rsidRPr="008E7595">
        <w:rPr>
          <w:smallCaps/>
          <w:sz w:val="16"/>
          <w:lang w:val="en-US"/>
        </w:rPr>
        <w:t>L. Harrison</w:t>
      </w:r>
      <w:r>
        <w:rPr>
          <w:smallCaps/>
          <w:sz w:val="16"/>
          <w:lang w:val="en-US"/>
        </w:rPr>
        <w:t>-J. Carroll-</w:t>
      </w:r>
      <w:r w:rsidRPr="008E7595">
        <w:rPr>
          <w:smallCaps/>
          <w:sz w:val="16"/>
          <w:lang w:val="en-US"/>
        </w:rPr>
        <w:t>A. Irwin,</w:t>
      </w:r>
      <w:r w:rsidRPr="008E7595">
        <w:rPr>
          <w:sz w:val="16"/>
          <w:lang w:val="en-US"/>
        </w:rPr>
        <w:t xml:space="preserve"> </w:t>
      </w:r>
      <w:r>
        <w:rPr>
          <w:lang w:val="en-US"/>
        </w:rPr>
        <w:t>et al.</w:t>
      </w:r>
      <w:r w:rsidR="00E4775C">
        <w:rPr>
          <w:lang w:val="en-US"/>
        </w:rPr>
        <w:t xml:space="preserve"> </w:t>
      </w:r>
      <w:r w:rsidR="00E4775C" w:rsidRPr="008E7595">
        <w:rPr>
          <w:i/>
          <w:lang w:val="en-US"/>
        </w:rPr>
        <w:t>A new dimension of health care: systematic review of the uses, benefits, and limitations of social media for health communication</w:t>
      </w:r>
      <w:r w:rsidR="00E4775C">
        <w:rPr>
          <w:lang w:val="en-US"/>
        </w:rPr>
        <w:t xml:space="preserve">. </w:t>
      </w:r>
      <w:r w:rsidR="00E4775C" w:rsidRPr="008E7595">
        <w:rPr>
          <w:lang w:val="en-US"/>
        </w:rPr>
        <w:t>Journal of Medical Internet Research</w:t>
      </w:r>
      <w:r w:rsidR="00E4775C">
        <w:rPr>
          <w:lang w:val="en-US"/>
        </w:rPr>
        <w:t xml:space="preserve">, </w:t>
      </w:r>
      <w:r>
        <w:rPr>
          <w:lang w:val="en-US"/>
        </w:rPr>
        <w:t xml:space="preserve">2013, </w:t>
      </w:r>
      <w:r w:rsidR="00E4775C">
        <w:rPr>
          <w:lang w:val="en-US"/>
        </w:rPr>
        <w:t>15</w:t>
      </w:r>
      <w:r w:rsidR="00E4775C">
        <w:rPr>
          <w:i/>
          <w:lang w:val="en-US"/>
        </w:rPr>
        <w:t>(4)</w:t>
      </w:r>
      <w:r w:rsidR="00E4775C">
        <w:rPr>
          <w:lang w:val="en-US"/>
        </w:rPr>
        <w:t xml:space="preserve">, </w:t>
      </w:r>
      <w:hyperlink r:id="rId5">
        <w:r w:rsidR="00E4775C">
          <w:rPr>
            <w:rStyle w:val="Collegamentoipertestuale"/>
            <w:lang w:val="en-US"/>
          </w:rPr>
          <w:t>https://www.ncbi.nlm.nih.gov/pmc/articles/PMC3636326/</w:t>
        </w:r>
      </w:hyperlink>
      <w:r w:rsidR="00E4775C">
        <w:rPr>
          <w:lang w:val="en-US"/>
        </w:rPr>
        <w:t xml:space="preserve"> .</w:t>
      </w:r>
    </w:p>
    <w:p w14:paraId="7F3ECFB0" w14:textId="05CBB2C1" w:rsidR="00164C08" w:rsidRPr="008E7595" w:rsidRDefault="008E7595" w:rsidP="008E7595">
      <w:pPr>
        <w:pStyle w:val="Testo1"/>
        <w:rPr>
          <w:sz w:val="16"/>
          <w:lang w:val="en-US"/>
        </w:rPr>
      </w:pPr>
      <w:r>
        <w:rPr>
          <w:smallCaps/>
          <w:sz w:val="16"/>
          <w:lang w:val="de-DE"/>
        </w:rPr>
        <w:t xml:space="preserve">E. </w:t>
      </w:r>
      <w:proofErr w:type="spellStart"/>
      <w:r>
        <w:rPr>
          <w:smallCaps/>
          <w:sz w:val="16"/>
          <w:lang w:val="de-DE"/>
        </w:rPr>
        <w:t>Uzunoğlu</w:t>
      </w:r>
      <w:proofErr w:type="spellEnd"/>
      <w:r>
        <w:rPr>
          <w:smallCaps/>
          <w:sz w:val="16"/>
          <w:lang w:val="de-DE"/>
        </w:rPr>
        <w:t>-</w:t>
      </w:r>
      <w:r w:rsidRPr="008E7595">
        <w:rPr>
          <w:smallCaps/>
          <w:sz w:val="16"/>
          <w:lang w:val="de-DE"/>
        </w:rPr>
        <w:t xml:space="preserve">S. </w:t>
      </w:r>
      <w:proofErr w:type="spellStart"/>
      <w:r w:rsidRPr="008E7595">
        <w:rPr>
          <w:smallCaps/>
          <w:sz w:val="16"/>
          <w:lang w:val="de-DE"/>
        </w:rPr>
        <w:t>Misci</w:t>
      </w:r>
      <w:proofErr w:type="spellEnd"/>
      <w:r w:rsidRPr="008E7595">
        <w:rPr>
          <w:smallCaps/>
          <w:sz w:val="16"/>
          <w:lang w:val="de-DE"/>
        </w:rPr>
        <w:t xml:space="preserve"> </w:t>
      </w:r>
      <w:proofErr w:type="spellStart"/>
      <w:r w:rsidRPr="008E7595">
        <w:rPr>
          <w:smallCaps/>
          <w:sz w:val="16"/>
          <w:lang w:val="de-DE"/>
        </w:rPr>
        <w:t>Kip</w:t>
      </w:r>
      <w:proofErr w:type="spellEnd"/>
      <w:r>
        <w:rPr>
          <w:smallCaps/>
          <w:lang w:val="de-DE"/>
        </w:rPr>
        <w:t>,</w:t>
      </w:r>
      <w:r w:rsidR="00E4775C">
        <w:rPr>
          <w:lang w:val="de-DE"/>
        </w:rPr>
        <w:t xml:space="preserve"> </w:t>
      </w:r>
      <w:r w:rsidR="00E4775C" w:rsidRPr="008E7595">
        <w:rPr>
          <w:i/>
          <w:lang w:val="en-US"/>
        </w:rPr>
        <w:t>Brand communication through digital influencers: Leveraging blogger engagement</w:t>
      </w:r>
      <w:r w:rsidR="00E4775C">
        <w:rPr>
          <w:lang w:val="en-US"/>
        </w:rPr>
        <w:t xml:space="preserve">. </w:t>
      </w:r>
      <w:r w:rsidR="00E4775C" w:rsidRPr="008E7595">
        <w:rPr>
          <w:lang w:val="en-US"/>
        </w:rPr>
        <w:t>International Journal of Information Management</w:t>
      </w:r>
      <w:r w:rsidR="00E4775C">
        <w:rPr>
          <w:lang w:val="en-US"/>
        </w:rPr>
        <w:t xml:space="preserve">, </w:t>
      </w:r>
      <w:r>
        <w:rPr>
          <w:lang w:val="en-US"/>
        </w:rPr>
        <w:t xml:space="preserve">2014, </w:t>
      </w:r>
      <w:r w:rsidR="00E4775C">
        <w:rPr>
          <w:lang w:val="en-US"/>
        </w:rPr>
        <w:t>34</w:t>
      </w:r>
      <w:r w:rsidR="00E4775C">
        <w:rPr>
          <w:i/>
          <w:lang w:val="en-US"/>
        </w:rPr>
        <w:t>(5)</w:t>
      </w:r>
      <w:r w:rsidR="00E4775C">
        <w:rPr>
          <w:lang w:val="en-US"/>
        </w:rPr>
        <w:t xml:space="preserve">, pp. </w:t>
      </w:r>
      <w:r w:rsidR="00E4775C" w:rsidRPr="008E7595">
        <w:rPr>
          <w:lang w:val="en-US"/>
        </w:rPr>
        <w:t>592-602.</w:t>
      </w:r>
    </w:p>
    <w:p w14:paraId="7F3ECFB2" w14:textId="03626565" w:rsidR="00164C08" w:rsidRDefault="008E7595" w:rsidP="008E7595">
      <w:pPr>
        <w:pStyle w:val="Testo1"/>
      </w:pPr>
      <w:r w:rsidRPr="008E7595">
        <w:rPr>
          <w:smallCaps/>
          <w:sz w:val="16"/>
          <w:lang w:val="en-US"/>
        </w:rPr>
        <w:t xml:space="preserve">J. </w:t>
      </w:r>
      <w:r>
        <w:rPr>
          <w:smallCaps/>
          <w:sz w:val="16"/>
          <w:lang w:val="en-US"/>
        </w:rPr>
        <w:t xml:space="preserve">Van </w:t>
      </w:r>
      <w:proofErr w:type="spellStart"/>
      <w:r>
        <w:rPr>
          <w:smallCaps/>
          <w:sz w:val="16"/>
          <w:lang w:val="en-US"/>
        </w:rPr>
        <w:t>Dijck</w:t>
      </w:r>
      <w:proofErr w:type="spellEnd"/>
      <w:r>
        <w:rPr>
          <w:smallCaps/>
          <w:sz w:val="16"/>
          <w:lang w:val="en-US"/>
        </w:rPr>
        <w:t>-</w:t>
      </w:r>
      <w:r w:rsidRPr="008E7595">
        <w:rPr>
          <w:smallCaps/>
          <w:sz w:val="16"/>
          <w:lang w:val="en-US"/>
        </w:rPr>
        <w:t xml:space="preserve">T. </w:t>
      </w:r>
      <w:proofErr w:type="spellStart"/>
      <w:r w:rsidRPr="008E7595">
        <w:rPr>
          <w:smallCaps/>
          <w:sz w:val="16"/>
          <w:lang w:val="en-US"/>
        </w:rPr>
        <w:t>Poell</w:t>
      </w:r>
      <w:proofErr w:type="spellEnd"/>
      <w:r>
        <w:rPr>
          <w:smallCaps/>
          <w:lang w:val="en-US"/>
        </w:rPr>
        <w:t>,</w:t>
      </w:r>
      <w:r w:rsidR="00E4775C">
        <w:rPr>
          <w:lang w:val="en-US"/>
        </w:rPr>
        <w:t xml:space="preserve"> </w:t>
      </w:r>
      <w:r w:rsidR="00E4775C" w:rsidRPr="008E7595">
        <w:rPr>
          <w:i/>
          <w:lang w:val="en-US"/>
        </w:rPr>
        <w:t>Understanding Social Media Logic</w:t>
      </w:r>
      <w:r w:rsidR="00E4775C">
        <w:rPr>
          <w:lang w:val="en-US"/>
        </w:rPr>
        <w:t xml:space="preserve">. </w:t>
      </w:r>
      <w:r w:rsidR="00E4775C" w:rsidRPr="008E7595">
        <w:rPr>
          <w:lang w:val="en-US"/>
        </w:rPr>
        <w:t>Media and Communication,</w:t>
      </w:r>
      <w:r w:rsidRPr="008E7595">
        <w:rPr>
          <w:lang w:val="en-US"/>
        </w:rPr>
        <w:t xml:space="preserve"> 2013,</w:t>
      </w:r>
      <w:r w:rsidR="00E4775C" w:rsidRPr="008E7595">
        <w:rPr>
          <w:lang w:val="en-US"/>
        </w:rPr>
        <w:t xml:space="preserve"> 1</w:t>
      </w:r>
      <w:r w:rsidR="00E4775C" w:rsidRPr="008E7595">
        <w:rPr>
          <w:i/>
          <w:lang w:val="en-US"/>
        </w:rPr>
        <w:t>(1)</w:t>
      </w:r>
      <w:r w:rsidR="00E4775C" w:rsidRPr="008E7595">
        <w:rPr>
          <w:lang w:val="en-US"/>
        </w:rPr>
        <w:t xml:space="preserve">, pp. 2–14. </w:t>
      </w:r>
      <w:hyperlink r:id="rId6">
        <w:r w:rsidR="00E4775C">
          <w:rPr>
            <w:rStyle w:val="Collegamentoipertestuale"/>
          </w:rPr>
          <w:t>https://www.cogitatiopress.com/mediaandcommunication/article/view/70/60</w:t>
        </w:r>
      </w:hyperlink>
      <w:r w:rsidR="00E4775C">
        <w:t xml:space="preserve"> </w:t>
      </w:r>
    </w:p>
    <w:p w14:paraId="7F3ECFB3" w14:textId="77777777" w:rsidR="00164C08" w:rsidRDefault="00E4775C" w:rsidP="008E7595">
      <w:pPr>
        <w:pStyle w:val="Testo1"/>
        <w:spacing w:before="120"/>
      </w:pPr>
      <w:r>
        <w:t>Tutti gli articoli sono accessibili tramite l’</w:t>
      </w:r>
      <w:proofErr w:type="spellStart"/>
      <w:r>
        <w:t>Opac</w:t>
      </w:r>
      <w:proofErr w:type="spellEnd"/>
      <w:r>
        <w:t xml:space="preserve"> della biblioteca di Ateneo. </w:t>
      </w:r>
    </w:p>
    <w:p w14:paraId="7F3ECFB5" w14:textId="3FDCF63D" w:rsidR="00164C08" w:rsidRDefault="00E4775C" w:rsidP="008E7595">
      <w:pPr>
        <w:pStyle w:val="Testo1"/>
      </w:pPr>
      <w:r>
        <w:t xml:space="preserve">Ulteriore bibliografia nella forma di saggi, contributi di ricerca e appunti del corso sarà messa a disposizione su </w:t>
      </w:r>
      <w:proofErr w:type="spellStart"/>
      <w:r>
        <w:t>Blackboard</w:t>
      </w:r>
      <w:proofErr w:type="spellEnd"/>
      <w:r>
        <w:t xml:space="preserve">. </w:t>
      </w:r>
    </w:p>
    <w:p w14:paraId="7F3ECFB6" w14:textId="6FB86649" w:rsidR="00164C08" w:rsidRDefault="00E4775C" w:rsidP="008E7595">
      <w:pPr>
        <w:pStyle w:val="Testo1"/>
        <w:spacing w:before="120"/>
        <w:rPr>
          <w:i/>
          <w:iCs/>
        </w:rPr>
      </w:pPr>
      <w:r>
        <w:rPr>
          <w:i/>
          <w:iCs/>
        </w:rPr>
        <w:t>Parte 2</w:t>
      </w:r>
    </w:p>
    <w:p w14:paraId="7F3ECFB7" w14:textId="0447B440" w:rsidR="00164C08" w:rsidRDefault="00E4775C" w:rsidP="008E7595">
      <w:pPr>
        <w:pStyle w:val="Testo1"/>
        <w:spacing w:line="240" w:lineRule="atLeast"/>
        <w:rPr>
          <w:bCs/>
          <w:spacing w:val="-5"/>
          <w:szCs w:val="18"/>
        </w:rPr>
      </w:pPr>
      <w:r>
        <w:rPr>
          <w:bCs/>
          <w:spacing w:val="-5"/>
          <w:szCs w:val="18"/>
        </w:rPr>
        <w:tab/>
        <w:t>Materiale didattico adoperato a lezione</w:t>
      </w:r>
      <w:r w:rsidR="00C93149">
        <w:rPr>
          <w:bCs/>
          <w:spacing w:val="-5"/>
          <w:szCs w:val="18"/>
        </w:rPr>
        <w:t xml:space="preserve"> e caricato su </w:t>
      </w:r>
      <w:proofErr w:type="spellStart"/>
      <w:r w:rsidR="00C93149">
        <w:rPr>
          <w:bCs/>
          <w:spacing w:val="-5"/>
          <w:szCs w:val="18"/>
        </w:rPr>
        <w:t>Blackboard</w:t>
      </w:r>
      <w:proofErr w:type="spellEnd"/>
      <w:r>
        <w:rPr>
          <w:bCs/>
          <w:spacing w:val="-5"/>
          <w:szCs w:val="18"/>
        </w:rPr>
        <w:t>.</w:t>
      </w:r>
    </w:p>
    <w:p w14:paraId="7F3ECFB8" w14:textId="77777777" w:rsidR="00164C08" w:rsidRDefault="00E477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3ECFB9" w14:textId="77777777" w:rsidR="00164C08" w:rsidRDefault="00E4775C">
      <w:pPr>
        <w:pStyle w:val="Testo2"/>
      </w:pPr>
      <w:r>
        <w:t xml:space="preserve">La didattica si svolgerà attraverso il commento di testi, la presentazione di ricerche e di studi di caso, lo sviluppo di competenze pratico-operative di tipo critico e analitico, lo sviluppo di progetti. La prima parte del corso prevede la realizzazione di un </w:t>
      </w:r>
      <w:proofErr w:type="spellStart"/>
      <w:r>
        <w:t>project</w:t>
      </w:r>
      <w:proofErr w:type="spellEnd"/>
      <w:r>
        <w:t xml:space="preserve"> work di gruppo sulla base del brief assegnato dalla docente che consentirà un apprendimento nella forma di </w:t>
      </w:r>
      <w:proofErr w:type="spellStart"/>
      <w:r>
        <w:rPr>
          <w:i/>
          <w:iCs/>
        </w:rPr>
        <w:t>learning</w:t>
      </w:r>
      <w:proofErr w:type="spellEnd"/>
      <w:r>
        <w:rPr>
          <w:i/>
          <w:iCs/>
        </w:rPr>
        <w:t xml:space="preserve"> by </w:t>
      </w:r>
      <w:proofErr w:type="spellStart"/>
      <w:r>
        <w:rPr>
          <w:i/>
          <w:iCs/>
        </w:rPr>
        <w:t>doing</w:t>
      </w:r>
      <w:proofErr w:type="spellEnd"/>
      <w:r>
        <w:rPr>
          <w:i/>
          <w:iCs/>
        </w:rPr>
        <w:t xml:space="preserve">. </w:t>
      </w:r>
    </w:p>
    <w:p w14:paraId="7F3ECFBB" w14:textId="05E4BD29" w:rsidR="00164C08" w:rsidRDefault="00E4775C" w:rsidP="008E7595">
      <w:pPr>
        <w:pStyle w:val="Testo2"/>
      </w:pPr>
      <w:r>
        <w:t xml:space="preserve">Gli studenti avranno inoltre l’opportunità di approfondire le tematiche del corso attraverso la testimonianza di professionisti che </w:t>
      </w:r>
      <w:r w:rsidR="00C93149">
        <w:t>interverranno</w:t>
      </w:r>
      <w:r>
        <w:t xml:space="preserve"> durante le lezioni. </w:t>
      </w:r>
    </w:p>
    <w:p w14:paraId="7F3ECFBC" w14:textId="3A07DED3" w:rsidR="00164C08" w:rsidRDefault="00E477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759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F3ECFBF" w14:textId="3D9B4869" w:rsidR="00164C08" w:rsidRDefault="00E4775C" w:rsidP="008E7595">
      <w:pPr>
        <w:pStyle w:val="Testo2"/>
      </w:pPr>
      <w:r>
        <w:t xml:space="preserve">Il voto finale del corso sarà dato dagli esiti delle valutazioni delle due parti del corso così articolate: </w:t>
      </w:r>
      <w:r w:rsidR="005E53F0">
        <w:rPr>
          <w:i/>
          <w:iCs/>
        </w:rPr>
        <w:t>Parte 1</w:t>
      </w:r>
      <w:r>
        <w:t xml:space="preserve"> 70%, </w:t>
      </w:r>
      <w:r w:rsidR="005E53F0">
        <w:rPr>
          <w:i/>
          <w:iCs/>
        </w:rPr>
        <w:t>Parte 2</w:t>
      </w:r>
      <w:r>
        <w:t xml:space="preserve"> 30%.</w:t>
      </w:r>
    </w:p>
    <w:p w14:paraId="7F3ECFC1" w14:textId="6F4D2CA1" w:rsidR="00164C08" w:rsidRPr="008E7595" w:rsidRDefault="00E4775C" w:rsidP="008E7595">
      <w:pPr>
        <w:pStyle w:val="Testo2"/>
        <w:spacing w:before="120"/>
      </w:pPr>
      <w:r>
        <w:t xml:space="preserve">Per quanto riguarda la </w:t>
      </w:r>
      <w:r>
        <w:rPr>
          <w:i/>
          <w:iCs/>
        </w:rPr>
        <w:t>Parte 1</w:t>
      </w:r>
      <w:r>
        <w:t xml:space="preserve"> il voto sarà così articolato: </w:t>
      </w:r>
    </w:p>
    <w:p w14:paraId="7F3ECFC2" w14:textId="77777777" w:rsidR="00164C08" w:rsidRDefault="00E4775C">
      <w:pPr>
        <w:pStyle w:val="Testo2"/>
        <w:numPr>
          <w:ilvl w:val="0"/>
          <w:numId w:val="3"/>
        </w:numPr>
      </w:pPr>
      <w:r>
        <w:t xml:space="preserve">Prova scritta </w:t>
      </w:r>
      <w:r>
        <w:rPr>
          <w:u w:val="single"/>
        </w:rPr>
        <w:t>individuale</w:t>
      </w:r>
      <w:r>
        <w:t xml:space="preserve"> (50%) che ha come obiettivo la verifica della conoscenza e della capacità di rielaborazione personale della bibliografia. La prova scritta verrà valutata tenendo conto di: pertinenza delle risposte; capacità argomentativa; uso della terminologia corretta; strutturazione argomentata e coerente del discorso. </w:t>
      </w:r>
    </w:p>
    <w:p w14:paraId="7F3ECFC5" w14:textId="45CC1CF0" w:rsidR="00164C08" w:rsidRDefault="00E4775C" w:rsidP="008E7595">
      <w:pPr>
        <w:pStyle w:val="Testo2"/>
        <w:numPr>
          <w:ilvl w:val="0"/>
          <w:numId w:val="3"/>
        </w:numPr>
      </w:pPr>
      <w:r>
        <w:t xml:space="preserve">Project work </w:t>
      </w:r>
      <w:r>
        <w:rPr>
          <w:u w:val="single"/>
        </w:rPr>
        <w:t>di gruppo</w:t>
      </w:r>
      <w:r>
        <w:t xml:space="preserve"> (50%) realizzato dagli studenti sulla base del brief assegnato in aula. Il </w:t>
      </w:r>
      <w:proofErr w:type="spellStart"/>
      <w:r>
        <w:t>project</w:t>
      </w:r>
      <w:proofErr w:type="spellEnd"/>
      <w:r>
        <w:t xml:space="preserve"> work sarà valutato tenendo conto di: capacità di rispondere alle consegne e alle indicazioni fornite in modo pertinente e puntuale; puntualità della consegna dei materiali; creatività e originalità dei contenuti proposti; capacità di argomentare la propria proposta di comunicazione; organizzazione e aspetto grafico della presentazione finale.</w:t>
      </w:r>
    </w:p>
    <w:p w14:paraId="7F3ECFC7" w14:textId="1BC97236" w:rsidR="00164C08" w:rsidRDefault="00E4775C" w:rsidP="008E7595">
      <w:pPr>
        <w:pStyle w:val="Testo2"/>
        <w:spacing w:before="120"/>
      </w:pPr>
      <w:r w:rsidRPr="00E4775C">
        <w:t xml:space="preserve">Per la </w:t>
      </w:r>
      <w:r>
        <w:rPr>
          <w:i/>
          <w:iCs/>
        </w:rPr>
        <w:t xml:space="preserve">Parte 2 </w:t>
      </w:r>
      <w:r>
        <w:t>è prevista una prova scritta individuale tesa a verificare la comprensione di concetti e metodi e la capacità di applicazione ad esercizi e casi studio.</w:t>
      </w:r>
    </w:p>
    <w:p w14:paraId="7F3ECFC8" w14:textId="21ED26B5" w:rsidR="00164C08" w:rsidRDefault="00E477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E7595">
        <w:rPr>
          <w:b/>
          <w:i/>
          <w:sz w:val="18"/>
        </w:rPr>
        <w:t xml:space="preserve"> E PREREQUISITI</w:t>
      </w:r>
    </w:p>
    <w:p w14:paraId="7F3ECFC9" w14:textId="77777777" w:rsidR="00164C08" w:rsidRDefault="00E4775C">
      <w:pPr>
        <w:pStyle w:val="Testo2"/>
      </w:pPr>
      <w:r>
        <w:t xml:space="preserve">Non sono richieste </w:t>
      </w:r>
      <w:proofErr w:type="spellStart"/>
      <w:r>
        <w:t>pre</w:t>
      </w:r>
      <w:proofErr w:type="spellEnd"/>
      <w:r>
        <w:t>-conoscenze particolari per seguire proficuamente il corso ma la letteratura richiede una conoscenza di inglese di livello B2.</w:t>
      </w:r>
    </w:p>
    <w:p w14:paraId="7F3ECFCA" w14:textId="77777777" w:rsidR="00164C08" w:rsidRDefault="00E4775C">
      <w:pPr>
        <w:pStyle w:val="Testo2"/>
      </w:pPr>
      <w:r>
        <w:lastRenderedPageBreak/>
        <w:t>Gli studenti che fossero, per ragioni accertabili e curriculari, impossibilitati a seguire con regolarità lo svolgimento delle lezioni dovranno prendere contatto con il docente all’inizio dell’anno per individuare un eventuale programma d’esame integrativo o sostitutivo a quanto sopra illustrato.</w:t>
      </w:r>
    </w:p>
    <w:p w14:paraId="7F3ECFCD" w14:textId="50F8CDE9" w:rsidR="00164C08" w:rsidRDefault="00E4775C" w:rsidP="008E7595">
      <w:pPr>
        <w:pStyle w:val="Testo2"/>
      </w:pPr>
      <w:r>
        <w:t xml:space="preserve">Qualora l'emergenza sanitaria dovesse protrarsi, sia l’attività didattica, sia le forme di controllo dell’apprendimento, in itinere e finale, saranno assicurati anche “in remoto”, attraverso la piattaforma </w:t>
      </w:r>
      <w:proofErr w:type="spellStart"/>
      <w:r>
        <w:t>BlackBoard</w:t>
      </w:r>
      <w:proofErr w:type="spellEnd"/>
      <w: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 </w:t>
      </w:r>
    </w:p>
    <w:p w14:paraId="7F3ECFCE" w14:textId="77777777" w:rsidR="00164C08" w:rsidRDefault="00E4775C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7F3ECFCF" w14:textId="77777777" w:rsidR="00164C08" w:rsidRDefault="00E4775C">
      <w:pPr>
        <w:pStyle w:val="Testo2"/>
      </w:pPr>
      <w:r>
        <w:t xml:space="preserve">La prof.ssa Elisabetta Locatelli riceve nelle date indicate sulla bacheca docente. </w:t>
      </w:r>
    </w:p>
    <w:p w14:paraId="7F3ECFD0" w14:textId="77777777" w:rsidR="00164C08" w:rsidRDefault="00E4775C">
      <w:pPr>
        <w:pStyle w:val="Testo2"/>
      </w:pPr>
      <w:r>
        <w:t>La prof.ssa Gaia Amadori riceve su appuntamento.</w:t>
      </w:r>
    </w:p>
    <w:p w14:paraId="7F3ECFD1" w14:textId="77777777" w:rsidR="00164C08" w:rsidRDefault="00E4775C">
      <w:pPr>
        <w:pStyle w:val="Testo2"/>
        <w:ind w:firstLine="0"/>
      </w:pPr>
      <w:r>
        <w:t xml:space="preserve">Per discutere i contenuti del corso o confrontarsi su temi, anche di attualità, ad essi inerenti sarà inoltre attivo il Forum, nella </w:t>
      </w:r>
      <w:proofErr w:type="spellStart"/>
      <w:r>
        <w:t>piattarforma</w:t>
      </w:r>
      <w:proofErr w:type="spellEnd"/>
      <w:r>
        <w:t xml:space="preserve"> </w:t>
      </w:r>
      <w:proofErr w:type="spellStart"/>
      <w:r>
        <w:t>BlackBoard</w:t>
      </w:r>
      <w:proofErr w:type="spellEnd"/>
      <w:r>
        <w:t xml:space="preserve"> del corso. </w:t>
      </w:r>
    </w:p>
    <w:p w14:paraId="7F3ECFD2" w14:textId="77777777" w:rsidR="00164C08" w:rsidRDefault="00164C08">
      <w:pPr>
        <w:pStyle w:val="Testo2"/>
      </w:pPr>
    </w:p>
    <w:sectPr w:rsidR="00164C08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﷽﷽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A8"/>
    <w:multiLevelType w:val="multilevel"/>
    <w:tmpl w:val="6F5A34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309B7"/>
    <w:multiLevelType w:val="multilevel"/>
    <w:tmpl w:val="E2B254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AB07B5"/>
    <w:multiLevelType w:val="multilevel"/>
    <w:tmpl w:val="C98206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A6A3425"/>
    <w:multiLevelType w:val="multilevel"/>
    <w:tmpl w:val="70981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284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8"/>
    <w:rsid w:val="00164C08"/>
    <w:rsid w:val="00570FBA"/>
    <w:rsid w:val="005C5745"/>
    <w:rsid w:val="005E53F0"/>
    <w:rsid w:val="00713FD2"/>
    <w:rsid w:val="007A36AC"/>
    <w:rsid w:val="008C0799"/>
    <w:rsid w:val="008E7595"/>
    <w:rsid w:val="00AA7679"/>
    <w:rsid w:val="00AC7D39"/>
    <w:rsid w:val="00C93149"/>
    <w:rsid w:val="00C93EEF"/>
    <w:rsid w:val="00CD68FA"/>
    <w:rsid w:val="00E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F83"/>
  <w15:docId w15:val="{5DA094B3-B37D-5C49-B234-3C0C517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E13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F5910"/>
    <w:rPr>
      <w:rFonts w:ascii="Times" w:hAnsi="Times"/>
      <w:b/>
    </w:rPr>
  </w:style>
  <w:style w:type="character" w:customStyle="1" w:styleId="Titolo2Carattere">
    <w:name w:val="Titolo 2 Carattere"/>
    <w:link w:val="Titolo2"/>
    <w:qFormat/>
    <w:rsid w:val="00EF5910"/>
    <w:rPr>
      <w:rFonts w:ascii="Times" w:hAnsi="Times"/>
      <w:smallCaps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C1ABF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B5D76"/>
    <w:rPr>
      <w:rFonts w:ascii="Tahoma" w:eastAsia="MS Mincho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2238C9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1044F1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rsid w:val="00AE134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EF5910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qFormat/>
    <w:rsid w:val="007B5D76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2D63DE"/>
    <w:pPr>
      <w:spacing w:beforeAutospacing="1" w:afterAutospacing="1" w:line="240" w:lineRule="auto"/>
      <w:jc w:val="left"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itatiopress.com/mediaandcommunication/article/view/70/60" TargetMode="External"/><Relationship Id="rId5" Type="http://schemas.openxmlformats.org/officeDocument/2006/relationships/hyperlink" Target="https://www.ncbi.nlm.nih.gov/pmc/articles/PMC36363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Bisello Stefano</cp:lastModifiedBy>
  <cp:revision>2</cp:revision>
  <cp:lastPrinted>2017-06-06T12:46:00Z</cp:lastPrinted>
  <dcterms:created xsi:type="dcterms:W3CDTF">2021-05-18T09:20:00Z</dcterms:created>
  <dcterms:modified xsi:type="dcterms:W3CDTF">2021-05-18T09:20:00Z</dcterms:modified>
  <dc:language>en-US</dc:language>
</cp:coreProperties>
</file>