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0069EA" w:rsidP="002D5E17">
      <w:pPr>
        <w:pStyle w:val="Titolo1"/>
      </w:pPr>
      <w:r>
        <w:t>Linguaggi e culture dello schermo (con modulo di Storytelling e crossmedialità)</w:t>
      </w:r>
    </w:p>
    <w:p w:rsidR="000069EA" w:rsidRDefault="000069EA" w:rsidP="000069EA">
      <w:pPr>
        <w:pStyle w:val="Titolo2"/>
      </w:pPr>
      <w:r>
        <w:t>Prof. Maria Grazia Fanchi; Prof. Diego Cajelli</w:t>
      </w:r>
    </w:p>
    <w:p w:rsidR="000069EA" w:rsidRDefault="000069EA" w:rsidP="000069E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069EA" w:rsidRPr="00D16BB3" w:rsidRDefault="000069EA" w:rsidP="001D527A">
      <w:pPr>
        <w:spacing w:line="240" w:lineRule="exact"/>
        <w:rPr>
          <w:rFonts w:eastAsia="Calibri"/>
          <w:szCs w:val="20"/>
        </w:rPr>
      </w:pPr>
      <w:r w:rsidRPr="00D16BB3">
        <w:rPr>
          <w:rFonts w:eastAsia="Calibri"/>
          <w:szCs w:val="20"/>
        </w:rPr>
        <w:t>Il corso si propone di fornire le conoscenze e gli strumenti atti a comprendere e a guidare i processi comunicativi nei sistemi mediali contemporanei</w:t>
      </w:r>
      <w:r>
        <w:rPr>
          <w:rFonts w:eastAsia="Calibri"/>
          <w:szCs w:val="20"/>
        </w:rPr>
        <w:t>. Le trasformazioni digitali non hanno infatti solo modificato le tecnologie di produzione e di distribuzione, ma hanno cambiato in modo profondo il funzionamento dei media, creando nuove tendenze, definendo un plesso di nuove regole e criteri di determinazione dell’efficacia di un’azione comunicativa. Lo studente alla fine del Corso sarà in grado di:</w:t>
      </w:r>
    </w:p>
    <w:p w:rsidR="000069EA" w:rsidRDefault="000069EA" w:rsidP="006C47A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>Riconoscere le logiche sottese alla produzione dei contenuti mediali: il peso che esercitano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>:</w:t>
      </w: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il contesto storico e sociale, le strutture preposte alla produzione, gli s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>p</w:t>
      </w: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>ettatori;</w:t>
      </w:r>
    </w:p>
    <w:p w:rsidR="000069EA" w:rsidRPr="00D16BB3" w:rsidRDefault="000069EA" w:rsidP="006C47A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Conoscenze e analizzare modelli mediali diversi, con particolare riferimento ai modelli digital native e ai modelli nati in contesti non occidentali; </w:t>
      </w:r>
    </w:p>
    <w:p w:rsidR="000069EA" w:rsidRPr="001568EA" w:rsidRDefault="000069EA" w:rsidP="006C47A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hAnsi="Times New Roman"/>
          <w:sz w:val="20"/>
          <w:szCs w:val="18"/>
          <w:lang w:val="it-IT"/>
        </w:rPr>
      </w:pPr>
      <w:bookmarkStart w:id="0" w:name="_Hlk72742805"/>
      <w:r>
        <w:rPr>
          <w:rFonts w:ascii="Times New Roman" w:hAnsi="Times New Roman"/>
          <w:sz w:val="20"/>
          <w:szCs w:val="18"/>
          <w:lang w:val="it-IT"/>
        </w:rPr>
        <w:t>I</w:t>
      </w:r>
      <w:r w:rsidRPr="001568EA">
        <w:rPr>
          <w:rFonts w:ascii="Times New Roman" w:hAnsi="Times New Roman"/>
          <w:sz w:val="20"/>
          <w:szCs w:val="18"/>
          <w:lang w:val="it-IT"/>
        </w:rPr>
        <w:t>ndividuare, analizzare e gestire gli elementi che compongono un qualsiasi tipo di storytelling contemporaneo</w:t>
      </w:r>
      <w:r>
        <w:rPr>
          <w:rFonts w:ascii="Times New Roman" w:hAnsi="Times New Roman"/>
          <w:sz w:val="20"/>
          <w:szCs w:val="18"/>
          <w:lang w:val="it-IT"/>
        </w:rPr>
        <w:t>;</w:t>
      </w:r>
    </w:p>
    <w:bookmarkEnd w:id="0"/>
    <w:p w:rsidR="000069EA" w:rsidRPr="00D16BB3" w:rsidRDefault="000069EA" w:rsidP="006C47A8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>Valutare gli impatti di prodotti culturali e mediali più o meno complessi nel contesto nazionale e internazionale: raccogliere e leggere criticamente i dati relativi alla produzione e al consumo di prodotti culturale e mediali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>.</w:t>
      </w:r>
    </w:p>
    <w:p w:rsidR="000069EA" w:rsidRPr="00D16BB3" w:rsidRDefault="000069EA" w:rsidP="001D527A">
      <w:pPr>
        <w:spacing w:line="240" w:lineRule="exact"/>
        <w:rPr>
          <w:rFonts w:eastAsia="Calibri"/>
          <w:szCs w:val="20"/>
        </w:rPr>
      </w:pPr>
      <w:r w:rsidRPr="00D16BB3">
        <w:rPr>
          <w:rFonts w:eastAsia="Calibri"/>
          <w:szCs w:val="20"/>
        </w:rPr>
        <w:t xml:space="preserve">Il </w:t>
      </w:r>
      <w:proofErr w:type="spellStart"/>
      <w:r w:rsidRPr="00D16BB3">
        <w:rPr>
          <w:rFonts w:eastAsia="Calibri"/>
          <w:szCs w:val="20"/>
        </w:rPr>
        <w:t>syllabus</w:t>
      </w:r>
      <w:proofErr w:type="spellEnd"/>
      <w:r w:rsidRPr="00D16BB3">
        <w:rPr>
          <w:rFonts w:eastAsia="Calibri"/>
          <w:szCs w:val="20"/>
        </w:rPr>
        <w:t xml:space="preserve"> del corso, con indicazione dei temi specifici e dei supporti bibliografici, sarà a disposizione dello studente su piattaforma </w:t>
      </w:r>
      <w:r>
        <w:rPr>
          <w:rFonts w:eastAsia="Calibri"/>
          <w:szCs w:val="20"/>
        </w:rPr>
        <w:t>B</w:t>
      </w:r>
      <w:r w:rsidRPr="00D16BB3">
        <w:rPr>
          <w:rFonts w:eastAsia="Calibri"/>
          <w:szCs w:val="20"/>
        </w:rPr>
        <w:t>lack</w:t>
      </w:r>
      <w:r>
        <w:rPr>
          <w:rFonts w:eastAsia="Calibri"/>
          <w:szCs w:val="20"/>
        </w:rPr>
        <w:t>B</w:t>
      </w:r>
      <w:r w:rsidRPr="00D16BB3">
        <w:rPr>
          <w:rFonts w:eastAsia="Calibri"/>
          <w:szCs w:val="20"/>
        </w:rPr>
        <w:t xml:space="preserve">oard all’avvio </w:t>
      </w:r>
      <w:r>
        <w:rPr>
          <w:rFonts w:eastAsia="Calibri"/>
          <w:szCs w:val="20"/>
        </w:rPr>
        <w:t>del semestre</w:t>
      </w:r>
      <w:r w:rsidRPr="00D16BB3">
        <w:rPr>
          <w:rFonts w:eastAsia="Calibri"/>
          <w:szCs w:val="20"/>
        </w:rPr>
        <w:t xml:space="preserve">. </w:t>
      </w:r>
    </w:p>
    <w:p w:rsidR="000069EA" w:rsidRDefault="000069EA" w:rsidP="000069E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069EA" w:rsidRDefault="000069EA" w:rsidP="001D527A">
      <w:pPr>
        <w:spacing w:line="240" w:lineRule="exact"/>
        <w:rPr>
          <w:szCs w:val="18"/>
        </w:rPr>
      </w:pPr>
      <w:r>
        <w:rPr>
          <w:szCs w:val="18"/>
        </w:rPr>
        <w:t xml:space="preserve">Il corso toccherà le seguenti tematiche: </w:t>
      </w:r>
    </w:p>
    <w:p w:rsidR="000069EA" w:rsidRPr="00621FC5" w:rsidRDefault="000069EA" w:rsidP="001D527A">
      <w:pPr>
        <w:spacing w:line="240" w:lineRule="exact"/>
        <w:rPr>
          <w:i/>
          <w:iCs/>
          <w:szCs w:val="18"/>
        </w:rPr>
      </w:pPr>
      <w:r w:rsidRPr="00621FC5">
        <w:rPr>
          <w:i/>
          <w:iCs/>
          <w:szCs w:val="18"/>
        </w:rPr>
        <w:t>Modulo 1-Linguaggi e culture dello schermo</w:t>
      </w:r>
    </w:p>
    <w:p w:rsidR="000069EA" w:rsidRDefault="000069EA" w:rsidP="001D527A">
      <w:pPr>
        <w:spacing w:line="240" w:lineRule="exact"/>
        <w:rPr>
          <w:szCs w:val="18"/>
        </w:rPr>
      </w:pPr>
      <w:r>
        <w:rPr>
          <w:szCs w:val="18"/>
        </w:rPr>
        <w:t>Le tre sfide dei media contemporanei: inclusività (</w:t>
      </w:r>
      <w:r w:rsidRPr="00F06411">
        <w:rPr>
          <w:i/>
          <w:iCs/>
          <w:szCs w:val="18"/>
        </w:rPr>
        <w:t>everyone</w:t>
      </w:r>
      <w:r>
        <w:rPr>
          <w:szCs w:val="18"/>
        </w:rPr>
        <w:t>), rilocazione (</w:t>
      </w:r>
      <w:r w:rsidRPr="00F06411">
        <w:rPr>
          <w:i/>
          <w:iCs/>
          <w:szCs w:val="18"/>
        </w:rPr>
        <w:t>everywhere</w:t>
      </w:r>
      <w:r>
        <w:rPr>
          <w:szCs w:val="18"/>
        </w:rPr>
        <w:t>), circolarità (</w:t>
      </w:r>
      <w:r w:rsidRPr="00F06411">
        <w:rPr>
          <w:i/>
          <w:iCs/>
          <w:szCs w:val="18"/>
        </w:rPr>
        <w:t>everything</w:t>
      </w:r>
      <w:r>
        <w:rPr>
          <w:szCs w:val="18"/>
        </w:rPr>
        <w:t>). Inclusività (</w:t>
      </w:r>
      <w:r w:rsidRPr="00F06411">
        <w:rPr>
          <w:i/>
          <w:iCs/>
          <w:szCs w:val="18"/>
        </w:rPr>
        <w:t>everyone</w:t>
      </w:r>
      <w:r>
        <w:rPr>
          <w:szCs w:val="18"/>
        </w:rPr>
        <w:t>): ovvero le forme della creatività in franchise, diffusa, dal basso. Rilocazione (</w:t>
      </w:r>
      <w:r w:rsidRPr="00F06411">
        <w:rPr>
          <w:i/>
          <w:iCs/>
          <w:szCs w:val="18"/>
        </w:rPr>
        <w:t>everywhere</w:t>
      </w:r>
      <w:r>
        <w:rPr>
          <w:szCs w:val="18"/>
        </w:rPr>
        <w:t>): ovvero la globalizzazione delle scene creative: come sono nati e come si gestiscono i media nei Paesi Terzi; i limiti della globalizzazione (geoblocking e tunneling); che cosa i media occidentali possono imparare dal funzionamento delle scene creative nei BRICS e nei MINT; scene creative micro e macro: modelli di analisi e di efficientamento. Circolarità (</w:t>
      </w:r>
      <w:r w:rsidRPr="00F06411">
        <w:rPr>
          <w:i/>
          <w:iCs/>
          <w:szCs w:val="18"/>
        </w:rPr>
        <w:t>everything</w:t>
      </w:r>
      <w:r>
        <w:rPr>
          <w:szCs w:val="18"/>
        </w:rPr>
        <w:t xml:space="preserve">): ovvero la logica del recupero; dal </w:t>
      </w:r>
      <w:r>
        <w:rPr>
          <w:szCs w:val="18"/>
        </w:rPr>
        <w:lastRenderedPageBreak/>
        <w:t xml:space="preserve">modello dell’unicità/novità a quello della diffusività e del “rottame dinamico”; la nostalgia e la parodia come driver di successo. </w:t>
      </w:r>
    </w:p>
    <w:p w:rsidR="000069EA" w:rsidRPr="00621FC5" w:rsidRDefault="000069EA" w:rsidP="001D527A">
      <w:pPr>
        <w:spacing w:before="120" w:line="240" w:lineRule="exact"/>
        <w:rPr>
          <w:i/>
          <w:iCs/>
          <w:szCs w:val="18"/>
        </w:rPr>
      </w:pPr>
      <w:r w:rsidRPr="00621FC5">
        <w:rPr>
          <w:i/>
          <w:iCs/>
          <w:szCs w:val="18"/>
        </w:rPr>
        <w:t>Modulo 2 Crossmedialità e Storytelling</w:t>
      </w:r>
    </w:p>
    <w:p w:rsidR="000069EA" w:rsidRPr="00487547" w:rsidRDefault="000069EA" w:rsidP="001D527A">
      <w:pPr>
        <w:spacing w:line="240" w:lineRule="exact"/>
        <w:rPr>
          <w:szCs w:val="18"/>
        </w:rPr>
      </w:pPr>
      <w:r>
        <w:rPr>
          <w:szCs w:val="18"/>
        </w:rPr>
        <w:t>Dal</w:t>
      </w:r>
      <w:r w:rsidRPr="00487547">
        <w:rPr>
          <w:szCs w:val="18"/>
        </w:rPr>
        <w:t xml:space="preserve"> </w:t>
      </w:r>
      <w:r>
        <w:rPr>
          <w:szCs w:val="18"/>
        </w:rPr>
        <w:t>V</w:t>
      </w:r>
      <w:r w:rsidRPr="00487547">
        <w:rPr>
          <w:szCs w:val="18"/>
        </w:rPr>
        <w:t>iaggio dell’Eroe, alle strutture narrative complesse, all’analisi dei principali generi narrativi, passando per i mitemi di base della cultura popolare e le loro ricorrenze (letteratura, fumetto, serie Tv, cinema, narrazioni pubblicitarie, Web).</w:t>
      </w:r>
      <w:r>
        <w:rPr>
          <w:szCs w:val="18"/>
        </w:rPr>
        <w:t xml:space="preserve"> </w:t>
      </w:r>
      <w:r w:rsidRPr="00487547">
        <w:rPr>
          <w:szCs w:val="18"/>
        </w:rPr>
        <w:t>Lo storytelling esteso. La narrazione e i suoi cambiamenti in funzione delle diverse piattaforme. Gli aspetti inediti dell’espansione dei contenuti, le narrazioni cross mediali. Si forniranno inoltre un primo plesso di competenze per l’ideazione e la gestione del visual storytelling.</w:t>
      </w:r>
    </w:p>
    <w:p w:rsidR="000069EA" w:rsidRDefault="000069EA" w:rsidP="000069E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071546">
        <w:rPr>
          <w:rStyle w:val="Rimandonotaapidipagina"/>
          <w:b/>
          <w:i/>
          <w:sz w:val="18"/>
        </w:rPr>
        <w:footnoteReference w:id="1"/>
      </w:r>
    </w:p>
    <w:p w:rsidR="000069EA" w:rsidRPr="00D16BB3" w:rsidRDefault="000069EA" w:rsidP="000069EA">
      <w:pPr>
        <w:pStyle w:val="Testo1"/>
        <w:spacing w:before="0"/>
      </w:pPr>
      <w:r w:rsidRPr="00D16BB3">
        <w:t xml:space="preserve">La bibliografia sarà fornita all’avvio delle lezioni e resa disponibile </w:t>
      </w:r>
      <w:r>
        <w:t>nello spazio BlackBoard del corso</w:t>
      </w:r>
      <w:r w:rsidRPr="00D16BB3">
        <w:t xml:space="preserve">. </w:t>
      </w:r>
    </w:p>
    <w:p w:rsidR="000069EA" w:rsidRPr="00D16BB3" w:rsidRDefault="000069EA" w:rsidP="000069EA">
      <w:pPr>
        <w:pStyle w:val="Testo1"/>
        <w:spacing w:before="0"/>
      </w:pPr>
      <w:r w:rsidRPr="00D16BB3">
        <w:t>Fra i testi a cui si farà riferimento:</w:t>
      </w:r>
    </w:p>
    <w:p w:rsidR="000069EA" w:rsidRPr="00C909D5" w:rsidRDefault="006C47A8" w:rsidP="006C47A8">
      <w:pPr>
        <w:pStyle w:val="Testo1"/>
        <w:spacing w:before="0"/>
        <w:rPr>
          <w:szCs w:val="18"/>
        </w:rPr>
      </w:pPr>
      <w:r w:rsidRPr="00C909D5">
        <w:rPr>
          <w:szCs w:val="18"/>
        </w:rPr>
        <w:t>J. Campbell</w:t>
      </w:r>
      <w:r w:rsidR="000069EA" w:rsidRPr="00C909D5">
        <w:rPr>
          <w:szCs w:val="18"/>
        </w:rPr>
        <w:t xml:space="preserve">, </w:t>
      </w:r>
      <w:r w:rsidR="000069EA" w:rsidRPr="00C909D5">
        <w:rPr>
          <w:i/>
          <w:iCs/>
          <w:szCs w:val="18"/>
        </w:rPr>
        <w:t>L'eroe dai mille volti</w:t>
      </w:r>
      <w:r w:rsidR="000069EA" w:rsidRPr="00C909D5">
        <w:rPr>
          <w:szCs w:val="18"/>
        </w:rPr>
        <w:t xml:space="preserve">, Lindau, Torino, 2012. </w:t>
      </w:r>
      <w:r w:rsidR="00071546">
        <w:rPr>
          <w:szCs w:val="18"/>
        </w:rPr>
        <w:t xml:space="preserve"> </w:t>
      </w:r>
      <w:hyperlink r:id="rId9" w:history="1">
        <w:r w:rsidR="00071546" w:rsidRPr="0007154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069EA" w:rsidRPr="00D16BB3" w:rsidRDefault="000069EA" w:rsidP="000069EA">
      <w:pPr>
        <w:pStyle w:val="Testo1"/>
        <w:spacing w:before="0"/>
        <w:rPr>
          <w:spacing w:val="-5"/>
          <w:lang w:val="en-GB"/>
        </w:rPr>
      </w:pPr>
      <w:r w:rsidRPr="00071546">
        <w:rPr>
          <w:szCs w:val="18"/>
          <w:lang w:val="en-US"/>
        </w:rPr>
        <w:t>J. Hartley-W. Wen-H. Siling Li,</w:t>
      </w:r>
      <w:r w:rsidRPr="00D16BB3">
        <w:rPr>
          <w:i/>
          <w:spacing w:val="-5"/>
          <w:lang w:val="en-GB"/>
        </w:rPr>
        <w:t xml:space="preserve"> </w:t>
      </w:r>
      <w:r w:rsidRPr="00D16BB3">
        <w:rPr>
          <w:i/>
          <w:iCs/>
          <w:spacing w:val="-5"/>
          <w:lang w:val="en-GB"/>
        </w:rPr>
        <w:t>Creative Economy and Culture. Challages, Changes, and Futures for the Creative Industries</w:t>
      </w:r>
      <w:r w:rsidRPr="00D16BB3">
        <w:rPr>
          <w:i/>
          <w:spacing w:val="-5"/>
          <w:lang w:val="en-GB"/>
        </w:rPr>
        <w:t>,</w:t>
      </w:r>
      <w:r w:rsidRPr="00D16BB3">
        <w:rPr>
          <w:spacing w:val="-5"/>
          <w:lang w:val="en-GB"/>
        </w:rPr>
        <w:t xml:space="preserve"> Sage, London, 2015.</w:t>
      </w:r>
    </w:p>
    <w:p w:rsidR="000069EA" w:rsidRPr="000069EA" w:rsidRDefault="006C47A8" w:rsidP="006C47A8">
      <w:pPr>
        <w:pStyle w:val="Testo1"/>
        <w:spacing w:before="0"/>
        <w:rPr>
          <w:szCs w:val="18"/>
          <w:lang w:val="en-US"/>
        </w:rPr>
      </w:pPr>
      <w:r w:rsidRPr="000069EA">
        <w:rPr>
          <w:szCs w:val="18"/>
          <w:lang w:val="en-US"/>
        </w:rPr>
        <w:t>D. Johnson</w:t>
      </w:r>
      <w:r w:rsidR="000069EA" w:rsidRPr="000069EA">
        <w:rPr>
          <w:szCs w:val="18"/>
          <w:lang w:val="en-US"/>
        </w:rPr>
        <w:t xml:space="preserve">, </w:t>
      </w:r>
      <w:r w:rsidR="000069EA" w:rsidRPr="000069EA">
        <w:rPr>
          <w:i/>
          <w:iCs/>
          <w:szCs w:val="18"/>
          <w:lang w:val="en-US"/>
        </w:rPr>
        <w:t>Media Franchising. Creative License and Collaboration in the Culture Industries</w:t>
      </w:r>
      <w:r w:rsidR="000069EA" w:rsidRPr="000069EA">
        <w:rPr>
          <w:szCs w:val="18"/>
          <w:lang w:val="en-US"/>
        </w:rPr>
        <w:t>.</w:t>
      </w:r>
      <w:r>
        <w:rPr>
          <w:szCs w:val="18"/>
          <w:lang w:val="en-US"/>
        </w:rPr>
        <w:t xml:space="preserve"> </w:t>
      </w:r>
      <w:r w:rsidR="000069EA" w:rsidRPr="000069EA">
        <w:rPr>
          <w:szCs w:val="18"/>
          <w:lang w:val="en-US"/>
        </w:rPr>
        <w:t>New York University Press, NY-London, 2013.</w:t>
      </w:r>
    </w:p>
    <w:p w:rsidR="000069EA" w:rsidRDefault="000069EA" w:rsidP="000069EA">
      <w:pPr>
        <w:pStyle w:val="Testo1"/>
        <w:spacing w:before="0"/>
        <w:rPr>
          <w:szCs w:val="18"/>
        </w:rPr>
      </w:pPr>
      <w:r w:rsidRPr="006C47A8">
        <w:rPr>
          <w:szCs w:val="18"/>
        </w:rPr>
        <w:t>M. Montanari</w:t>
      </w:r>
      <w:r w:rsidRPr="005C7BE6">
        <w:rPr>
          <w:smallCaps/>
          <w:spacing w:val="-5"/>
        </w:rPr>
        <w:t>,</w:t>
      </w:r>
      <w:r w:rsidRPr="005C7BE6">
        <w:rPr>
          <w:i/>
          <w:spacing w:val="-5"/>
        </w:rPr>
        <w:t xml:space="preserve"> </w:t>
      </w:r>
      <w:r w:rsidRPr="005C7BE6">
        <w:rPr>
          <w:i/>
          <w:iCs/>
          <w:spacing w:val="-5"/>
        </w:rPr>
        <w:t xml:space="preserve">Ecosistema creativo. </w:t>
      </w:r>
      <w:r w:rsidRPr="00C909D5">
        <w:rPr>
          <w:i/>
          <w:iCs/>
          <w:spacing w:val="-5"/>
        </w:rPr>
        <w:t>Organizzazione della creatività in una prospettiva di network,</w:t>
      </w:r>
      <w:r w:rsidRPr="00C909D5">
        <w:rPr>
          <w:iCs/>
          <w:spacing w:val="-5"/>
        </w:rPr>
        <w:t xml:space="preserve"> Franco Angeli, Milano 2018.</w:t>
      </w:r>
      <w:r w:rsidRPr="00C909D5">
        <w:rPr>
          <w:szCs w:val="18"/>
        </w:rPr>
        <w:t xml:space="preserve"> </w:t>
      </w:r>
      <w:hyperlink r:id="rId10" w:history="1">
        <w:r w:rsidR="00071546" w:rsidRPr="0007154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069EA" w:rsidRPr="00A97B64" w:rsidRDefault="006C47A8" w:rsidP="006C47A8">
      <w:pPr>
        <w:pStyle w:val="Testo1"/>
        <w:spacing w:before="0"/>
        <w:rPr>
          <w:szCs w:val="18"/>
        </w:rPr>
      </w:pPr>
      <w:r w:rsidRPr="00C909D5">
        <w:rPr>
          <w:szCs w:val="18"/>
        </w:rPr>
        <w:t>D. Cajelli, F.Toniolo</w:t>
      </w:r>
      <w:r w:rsidR="000069EA" w:rsidRPr="00C909D5">
        <w:rPr>
          <w:szCs w:val="18"/>
        </w:rPr>
        <w:t xml:space="preserve">, </w:t>
      </w:r>
      <w:r w:rsidR="000069EA" w:rsidRPr="00C909D5">
        <w:rPr>
          <w:i/>
          <w:iCs/>
          <w:szCs w:val="18"/>
        </w:rPr>
        <w:t>Storytelling crossmediale. Dalla letteratura ai videogiochi</w:t>
      </w:r>
      <w:r w:rsidR="000069EA" w:rsidRPr="00C909D5">
        <w:rPr>
          <w:szCs w:val="18"/>
        </w:rPr>
        <w:t>, Unicopl</w:t>
      </w:r>
      <w:r w:rsidR="000069EA">
        <w:rPr>
          <w:szCs w:val="18"/>
        </w:rPr>
        <w:t>i, Trezzano sul Naviglio, 2018.</w:t>
      </w:r>
      <w:r w:rsidR="00071546">
        <w:rPr>
          <w:szCs w:val="18"/>
        </w:rPr>
        <w:t xml:space="preserve"> </w:t>
      </w:r>
      <w:hyperlink r:id="rId11" w:history="1">
        <w:r w:rsidR="00071546" w:rsidRPr="0007154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069EA" w:rsidRPr="00C909D5" w:rsidRDefault="006C47A8" w:rsidP="000069EA">
      <w:pPr>
        <w:pStyle w:val="Testo1"/>
        <w:spacing w:before="0"/>
        <w:rPr>
          <w:szCs w:val="18"/>
        </w:rPr>
      </w:pPr>
      <w:r w:rsidRPr="00C909D5">
        <w:rPr>
          <w:szCs w:val="18"/>
        </w:rPr>
        <w:t>J. Sassoon</w:t>
      </w:r>
      <w:r w:rsidR="000069EA" w:rsidRPr="00C909D5">
        <w:rPr>
          <w:szCs w:val="18"/>
        </w:rPr>
        <w:t xml:space="preserve">, </w:t>
      </w:r>
      <w:r w:rsidR="000069EA" w:rsidRPr="00C909D5">
        <w:rPr>
          <w:i/>
          <w:iCs/>
          <w:szCs w:val="18"/>
        </w:rPr>
        <w:t>Storie virali. Come creare racconti di marca capaci di diffondersi in modo esplosivo nel web</w:t>
      </w:r>
      <w:r w:rsidR="000069EA">
        <w:rPr>
          <w:szCs w:val="18"/>
        </w:rPr>
        <w:t>,</w:t>
      </w:r>
      <w:r w:rsidR="000069EA" w:rsidRPr="00C909D5">
        <w:rPr>
          <w:szCs w:val="18"/>
        </w:rPr>
        <w:t xml:space="preserve"> Lupetti</w:t>
      </w:r>
      <w:r w:rsidR="000069EA">
        <w:rPr>
          <w:szCs w:val="18"/>
        </w:rPr>
        <w:t>, Milano, 2012.</w:t>
      </w:r>
      <w:r>
        <w:rPr>
          <w:szCs w:val="18"/>
        </w:rPr>
        <w:t xml:space="preserve"> </w:t>
      </w:r>
      <w:r w:rsidR="00071546">
        <w:rPr>
          <w:szCs w:val="18"/>
        </w:rPr>
        <w:t xml:space="preserve"> </w:t>
      </w:r>
      <w:hyperlink r:id="rId12" w:history="1">
        <w:r w:rsidR="00071546" w:rsidRPr="0007154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069EA" w:rsidRDefault="000069EA" w:rsidP="000069E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069EA" w:rsidRPr="000069EA" w:rsidRDefault="000069EA" w:rsidP="000069EA">
      <w:pPr>
        <w:pStyle w:val="Testo2"/>
      </w:pPr>
      <w:r w:rsidRPr="000069EA">
        <w:t xml:space="preserve">La didattica si svolgerà attraverso il commento di testi, la presentazione di ricerche e di studi di caso, lo sviluppo di competenze pratico-operative nello storytelling in ambienti mediali ibridi e complessi; la messa a punto di progetti. Gli studenti avranno inoltre l’opportunità di approfondire le tematiche del corso attraverso la testimonianza di professionisti che interveranno durante le lezioni. </w:t>
      </w:r>
    </w:p>
    <w:p w:rsidR="000069EA" w:rsidRPr="00D16BB3" w:rsidRDefault="000069EA" w:rsidP="000069EA">
      <w:pPr>
        <w:spacing w:before="240" w:after="120"/>
        <w:rPr>
          <w:b/>
          <w:i/>
          <w:szCs w:val="20"/>
        </w:rPr>
      </w:pPr>
      <w:r w:rsidRPr="00D16BB3">
        <w:rPr>
          <w:b/>
          <w:i/>
          <w:szCs w:val="20"/>
        </w:rPr>
        <w:t>METODO E CRITERI DI VALUTAZIONE</w:t>
      </w:r>
    </w:p>
    <w:p w:rsidR="000069EA" w:rsidRPr="000069EA" w:rsidRDefault="000069EA" w:rsidP="000069EA">
      <w:pPr>
        <w:pStyle w:val="Testo2"/>
      </w:pPr>
      <w:r w:rsidRPr="000069EA">
        <w:t>La valutazione sarà espressa sulla base di test e colloqui, volti a verificare la comprensione e la conoscenza dei contenuti discussi in aula nell’ambito dei due moduli e dei materiali a supporto del corso; e di un progetto.</w:t>
      </w:r>
      <w:r w:rsidR="006C47A8">
        <w:t xml:space="preserve"> </w:t>
      </w:r>
    </w:p>
    <w:p w:rsidR="000069EA" w:rsidRPr="000069EA" w:rsidRDefault="000069EA" w:rsidP="000069EA">
      <w:pPr>
        <w:pStyle w:val="Testo2"/>
      </w:pPr>
      <w:r w:rsidRPr="000069EA">
        <w:lastRenderedPageBreak/>
        <w:t xml:space="preserve">Il test/colloquio contribuirà per il 70% al voto finale; il progetto contribuirà per il 30% al voto finale. </w:t>
      </w:r>
    </w:p>
    <w:p w:rsidR="000069EA" w:rsidRPr="000069EA" w:rsidRDefault="000069EA" w:rsidP="000069EA">
      <w:pPr>
        <w:pStyle w:val="Testo2"/>
      </w:pPr>
      <w:r w:rsidRPr="000069EA">
        <w:t>Nella valutazione si terrà conto dei seguent elementi:</w:t>
      </w:r>
    </w:p>
    <w:p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>Completezza dei saperi e delle competenze pratiche;</w:t>
      </w:r>
    </w:p>
    <w:p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>Capacità di mettere all’opera quanto appreso su progetti concreti;</w:t>
      </w:r>
    </w:p>
    <w:p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 xml:space="preserve">Corrispondenza fra consegne e progetti; </w:t>
      </w:r>
    </w:p>
    <w:p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 xml:space="preserve">Abilità nel comunicare obiettivi e risultati dei progetti. </w:t>
      </w:r>
    </w:p>
    <w:p w:rsidR="000069EA" w:rsidRPr="000069EA" w:rsidRDefault="000069EA" w:rsidP="000069EA">
      <w:pPr>
        <w:pStyle w:val="Testo2"/>
      </w:pPr>
      <w:r w:rsidRPr="000069EA">
        <w:t>Contribuiranno inoltre al voto finale:</w:t>
      </w:r>
    </w:p>
    <w:p w:rsidR="000069EA" w:rsidRPr="000069EA" w:rsidRDefault="006C47A8" w:rsidP="006C47A8">
      <w:pPr>
        <w:pStyle w:val="Testo2"/>
        <w:ind w:left="567" w:hanging="283"/>
      </w:pPr>
      <w:r>
        <w:t>-</w:t>
      </w:r>
      <w:r>
        <w:tab/>
      </w:r>
      <w:r w:rsidR="000069EA" w:rsidRPr="000069EA">
        <w:t>la partecipazione alle attività promosse nel quadro delle lezioni;</w:t>
      </w:r>
    </w:p>
    <w:p w:rsidR="000069EA" w:rsidRPr="000069EA" w:rsidRDefault="006C47A8" w:rsidP="006C47A8">
      <w:pPr>
        <w:pStyle w:val="Testo2"/>
        <w:ind w:left="567" w:hanging="283"/>
      </w:pPr>
      <w:r>
        <w:t>-</w:t>
      </w:r>
      <w:r>
        <w:tab/>
      </w:r>
      <w:r w:rsidR="000069EA" w:rsidRPr="000069EA">
        <w:t>la partecipazione a iniziative consigliate e volte a rafforzare competenze complementari (es. competenze di tipo creativo-produttivo o soft);</w:t>
      </w:r>
    </w:p>
    <w:p w:rsidR="000069EA" w:rsidRPr="000069EA" w:rsidRDefault="006C47A8" w:rsidP="006C47A8">
      <w:pPr>
        <w:pStyle w:val="Testo2"/>
        <w:ind w:left="567" w:hanging="283"/>
      </w:pPr>
      <w:r>
        <w:t>-</w:t>
      </w:r>
      <w:r>
        <w:tab/>
      </w:r>
      <w:r w:rsidR="000069EA" w:rsidRPr="000069EA">
        <w:t>la partecipazione a iniziative in partnership con le imprese nel quadro delle attività di orientamento in uscita, negli ambiti propri del corso.</w:t>
      </w:r>
    </w:p>
    <w:p w:rsidR="000069EA" w:rsidRPr="000069EA" w:rsidRDefault="000069EA" w:rsidP="000069EA">
      <w:pPr>
        <w:pStyle w:val="Testo2"/>
      </w:pPr>
      <w:r w:rsidRPr="000069EA">
        <w:t xml:space="preserve">I criteri utilizzati per la valutazione di ciascuna attività saranno dettagliati in avvio di semestre e pubblicati in BlackBoard. </w:t>
      </w:r>
    </w:p>
    <w:p w:rsidR="000069EA" w:rsidRPr="00D16BB3" w:rsidRDefault="000069EA" w:rsidP="000069EA">
      <w:pPr>
        <w:spacing w:before="240" w:after="120"/>
        <w:rPr>
          <w:b/>
          <w:i/>
          <w:szCs w:val="20"/>
        </w:rPr>
      </w:pPr>
      <w:r w:rsidRPr="00D16BB3">
        <w:rPr>
          <w:b/>
          <w:i/>
          <w:szCs w:val="20"/>
        </w:rPr>
        <w:t>AVVERTENZE E PREREQUISITI</w:t>
      </w:r>
    </w:p>
    <w:p w:rsidR="000069EA" w:rsidRPr="0023626C" w:rsidRDefault="000069EA" w:rsidP="000069EA">
      <w:pPr>
        <w:pStyle w:val="Testo2"/>
      </w:pPr>
      <w:r w:rsidRPr="0023626C">
        <w:t>Per essere proficuamente frequentato il corso prevede i seguenti prerequisiti:</w:t>
      </w:r>
    </w:p>
    <w:p w:rsidR="000069EA" w:rsidRPr="0023626C" w:rsidRDefault="000069EA" w:rsidP="000069EA">
      <w:pPr>
        <w:pStyle w:val="Testo2"/>
      </w:pPr>
      <w:r w:rsidRPr="0023626C">
        <w:t xml:space="preserve">Conoscenza delle basi della narratologia; </w:t>
      </w:r>
    </w:p>
    <w:p w:rsidR="000069EA" w:rsidRPr="0023626C" w:rsidRDefault="000069EA" w:rsidP="000069EA">
      <w:pPr>
        <w:pStyle w:val="Testo2"/>
      </w:pPr>
      <w:r w:rsidRPr="0023626C">
        <w:t>Conoscenza delle basi della massmediologia.</w:t>
      </w:r>
    </w:p>
    <w:p w:rsidR="000069EA" w:rsidRDefault="000069EA" w:rsidP="000069EA">
      <w:pPr>
        <w:pStyle w:val="Testo2"/>
      </w:pPr>
      <w:r w:rsidRPr="00D16BB3">
        <w:t>Gli studenti che non avessero sostenuto in precedenza corsi in tali ambiti sono invitati a le</w:t>
      </w:r>
      <w:r>
        <w:t>ggere</w:t>
      </w:r>
      <w:r w:rsidRPr="00D16BB3">
        <w:t xml:space="preserve">, prima dell’avvio del corso, i seguenti testi: </w:t>
      </w:r>
    </w:p>
    <w:p w:rsidR="000069EA" w:rsidRPr="000C69CD" w:rsidRDefault="000069EA" w:rsidP="000069EA">
      <w:pPr>
        <w:pStyle w:val="Testo2"/>
        <w:rPr>
          <w:szCs w:val="18"/>
        </w:rPr>
      </w:pPr>
      <w:r w:rsidRPr="000C69CD">
        <w:t xml:space="preserve">Conoscenza delle basi della narratologia: </w:t>
      </w:r>
      <w:r w:rsidR="006C47A8" w:rsidRPr="000C69CD">
        <w:rPr>
          <w:szCs w:val="18"/>
        </w:rPr>
        <w:t>C. Vogler</w:t>
      </w:r>
      <w:r w:rsidRPr="000C69CD">
        <w:rPr>
          <w:szCs w:val="18"/>
        </w:rPr>
        <w:t xml:space="preserve">, Il viaggio dell'eroe. La struttura del mito ad uso di scrittori di narrativa e di cinema, Dino Audino Editore, Roma, 2010. </w:t>
      </w:r>
      <w:r w:rsidR="00071546">
        <w:rPr>
          <w:szCs w:val="18"/>
        </w:rPr>
        <w:t xml:space="preserve"> </w:t>
      </w:r>
      <w:hyperlink r:id="rId13" w:history="1">
        <w:r w:rsidR="00071546" w:rsidRPr="0007154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069EA" w:rsidRDefault="000069EA" w:rsidP="000069EA">
      <w:pPr>
        <w:pStyle w:val="Testo2"/>
      </w:pPr>
      <w:r>
        <w:t xml:space="preserve">Conoscenza delle basi della massmediologia: </w:t>
      </w:r>
      <w:r w:rsidR="006C47A8">
        <w:t xml:space="preserve">H. </w:t>
      </w:r>
      <w:r w:rsidR="006C47A8" w:rsidRPr="009854A7">
        <w:rPr>
          <w:rFonts w:eastAsia="Calibri"/>
          <w:noProof w:val="0"/>
          <w:szCs w:val="18"/>
          <w:lang w:eastAsia="en-US"/>
        </w:rPr>
        <w:t>Jenkins</w:t>
      </w:r>
      <w:r>
        <w:t xml:space="preserve">, </w:t>
      </w:r>
      <w:r w:rsidRPr="004D16CA">
        <w:rPr>
          <w:i/>
          <w:iCs/>
        </w:rPr>
        <w:t>Cultura convergente,</w:t>
      </w:r>
      <w:r>
        <w:t xml:space="preserve"> Apogeo, Milano, 2007.</w:t>
      </w:r>
      <w:r w:rsidR="006C47A8">
        <w:t xml:space="preserve"> </w:t>
      </w:r>
      <w:r w:rsidR="00071546">
        <w:t xml:space="preserve"> </w:t>
      </w:r>
      <w:hyperlink r:id="rId14" w:history="1">
        <w:r w:rsidR="00071546" w:rsidRPr="0007154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:rsidR="000069EA" w:rsidRPr="000C69CD" w:rsidRDefault="000069EA" w:rsidP="000069EA">
      <w:pPr>
        <w:pStyle w:val="Testo2"/>
      </w:pPr>
      <w:r w:rsidRPr="000C69CD">
        <w:t xml:space="preserve">Allo studente viene inoltre richiesta una buona conoscenza dell’immaginario collettivo contemporaneo, interesse verso le serie televisive, </w:t>
      </w:r>
      <w:r>
        <w:t>il cinema</w:t>
      </w:r>
      <w:r w:rsidRPr="000C69CD">
        <w:t>, la letteratura di genere e i videogiochi.</w:t>
      </w:r>
      <w:r>
        <w:t xml:space="preserve"> </w:t>
      </w:r>
      <w:r w:rsidRPr="000C69CD">
        <w:t xml:space="preserve">In generale, una spiccata curiosità verso la narrazione e i contesti narrativi </w:t>
      </w:r>
      <w:r>
        <w:t>contemporanei</w:t>
      </w:r>
      <w:r w:rsidRPr="000C69CD">
        <w:t>.</w:t>
      </w:r>
    </w:p>
    <w:p w:rsidR="000069EA" w:rsidRPr="00D16BB3" w:rsidRDefault="000069EA" w:rsidP="000069EA">
      <w:pPr>
        <w:pStyle w:val="Testo2"/>
      </w:pPr>
      <w:r w:rsidRPr="00D16BB3">
        <w:t>All’avvio del corso sarà messo a disposizione degli studenti un test di auto</w:t>
      </w:r>
      <w:r>
        <w:t>-</w:t>
      </w:r>
      <w:r w:rsidRPr="00D16BB3">
        <w:t xml:space="preserve">assessment e saranno organizzati momenti per il rafforzamento delle competenze in entrata. </w:t>
      </w:r>
    </w:p>
    <w:p w:rsidR="000069EA" w:rsidRPr="007D67A8" w:rsidRDefault="000069EA" w:rsidP="000069EA">
      <w:pPr>
        <w:pStyle w:val="Testo2"/>
      </w:pPr>
      <w:r w:rsidRPr="007D67A8">
        <w:t xml:space="preserve">L’iscrizione alla piattaforma BlackBoard del corso è obbligatoria per tutti gli studenti. Le comunicazioni relative a iniziative, incontri, workshop e altre attività inerenti il corso saranno fornite attraverso la </w:t>
      </w:r>
      <w:r>
        <w:t xml:space="preserve">funzione “avvisi” </w:t>
      </w:r>
      <w:r w:rsidRPr="007D67A8">
        <w:t>di BlackBoard.</w:t>
      </w:r>
    </w:p>
    <w:p w:rsidR="000069EA" w:rsidRPr="00D16BB3" w:rsidRDefault="000069EA" w:rsidP="000069EA">
      <w:pPr>
        <w:pStyle w:val="Testo2"/>
      </w:pPr>
      <w:r w:rsidRPr="00D16BB3">
        <w:t>Gli studenti che fossero, per ragioni accertabili e curriculari, impossibilitati a seguire con regolarità lo svolgimento del corso dovranno prendere contatto con il docente all’inizio dell’anno per individuare un eventuale programma d’esame integrativo o sostitutivo a quanto sopra illustrato.</w:t>
      </w:r>
    </w:p>
    <w:p w:rsidR="000069EA" w:rsidRPr="00D16BB3" w:rsidRDefault="000069EA" w:rsidP="000069EA">
      <w:pPr>
        <w:pStyle w:val="Testo2"/>
        <w:spacing w:before="120"/>
        <w:rPr>
          <w:i/>
        </w:rPr>
      </w:pPr>
      <w:r w:rsidRPr="00D16BB3">
        <w:rPr>
          <w:i/>
        </w:rPr>
        <w:t>Orario e luogo di ricevimento</w:t>
      </w:r>
    </w:p>
    <w:p w:rsidR="000069EA" w:rsidRPr="00A23E44" w:rsidRDefault="000069EA" w:rsidP="000069EA">
      <w:pPr>
        <w:pStyle w:val="Testo2"/>
      </w:pPr>
      <w:r>
        <w:t xml:space="preserve">Il ricevimento avverrà online. </w:t>
      </w:r>
      <w:r w:rsidRPr="005C7BE6">
        <w:t xml:space="preserve">La Prof.ssa Mariagrazia Fanchi comunicherà l’orario di ricevimento all’inizio delle lezioni sulla bacheca della sua pagina docente. Sempre nella </w:t>
      </w:r>
      <w:r w:rsidRPr="005C7BE6">
        <w:lastRenderedPageBreak/>
        <w:t xml:space="preserve">bacheca della pagina docente saranno segnalati eventuali sospensioni o cambiamenti di orario e data di ricevimento. </w:t>
      </w:r>
      <w:r w:rsidRPr="00A23E44">
        <w:t xml:space="preserve">Il Prof. Diego Cajelli comunicherà a lezione </w:t>
      </w:r>
      <w:r>
        <w:t>l’</w:t>
      </w:r>
      <w:r w:rsidRPr="00A23E44">
        <w:t>orario di ricevimento degli studenti.</w:t>
      </w:r>
    </w:p>
    <w:p w:rsidR="000069EA" w:rsidRPr="00D16BB3" w:rsidRDefault="000069EA" w:rsidP="000069EA">
      <w:pPr>
        <w:pStyle w:val="Testo2"/>
      </w:pPr>
    </w:p>
    <w:p w:rsidR="000069EA" w:rsidRPr="00D16BB3" w:rsidRDefault="000069EA" w:rsidP="000069EA">
      <w:pPr>
        <w:pStyle w:val="Testo2"/>
      </w:pPr>
      <w:r w:rsidRPr="00D16BB3">
        <w:t xml:space="preserve">Per discutere i contenuti del corso o confrontarsi su temi, anche di attualità, ad essi inerenti sarà attivo il Forum, nella piattaforma BlackBoard. </w:t>
      </w:r>
    </w:p>
    <w:p w:rsidR="000069EA" w:rsidRPr="00D16BB3" w:rsidRDefault="000069EA" w:rsidP="000069EA">
      <w:pPr>
        <w:pStyle w:val="Testo2"/>
      </w:pPr>
      <w:r w:rsidRPr="00D16BB3">
        <w:t>COVID-19.</w:t>
      </w:r>
      <w:r w:rsidR="006C47A8">
        <w:t xml:space="preserve"> </w:t>
      </w:r>
      <w:r w:rsidRPr="00D16BB3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</w:t>
      </w:r>
      <w:r>
        <w:t>i.</w:t>
      </w:r>
    </w:p>
    <w:p w:rsidR="000069EA" w:rsidRPr="000069EA" w:rsidRDefault="000069EA" w:rsidP="000069EA">
      <w:pPr>
        <w:pStyle w:val="Testo2"/>
      </w:pPr>
    </w:p>
    <w:sectPr w:rsidR="000069EA" w:rsidRPr="000069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46" w:rsidRDefault="00071546" w:rsidP="00071546">
      <w:pPr>
        <w:spacing w:line="240" w:lineRule="auto"/>
      </w:pPr>
      <w:r>
        <w:separator/>
      </w:r>
    </w:p>
  </w:endnote>
  <w:endnote w:type="continuationSeparator" w:id="0">
    <w:p w:rsidR="00071546" w:rsidRDefault="00071546" w:rsidP="00071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46" w:rsidRDefault="00071546" w:rsidP="00071546">
      <w:pPr>
        <w:spacing w:line="240" w:lineRule="auto"/>
      </w:pPr>
      <w:r>
        <w:separator/>
      </w:r>
    </w:p>
  </w:footnote>
  <w:footnote w:type="continuationSeparator" w:id="0">
    <w:p w:rsidR="00071546" w:rsidRDefault="00071546" w:rsidP="00071546">
      <w:pPr>
        <w:spacing w:line="240" w:lineRule="auto"/>
      </w:pPr>
      <w:r>
        <w:continuationSeparator/>
      </w:r>
    </w:p>
  </w:footnote>
  <w:footnote w:id="1">
    <w:p w:rsidR="00071546" w:rsidRDefault="0007154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554"/>
    <w:multiLevelType w:val="hybridMultilevel"/>
    <w:tmpl w:val="55B0B834"/>
    <w:lvl w:ilvl="0" w:tplc="21C27224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6F"/>
    <w:rsid w:val="000069EA"/>
    <w:rsid w:val="00071546"/>
    <w:rsid w:val="00187B99"/>
    <w:rsid w:val="001D527A"/>
    <w:rsid w:val="002014DD"/>
    <w:rsid w:val="002D5E17"/>
    <w:rsid w:val="004D1217"/>
    <w:rsid w:val="004D6008"/>
    <w:rsid w:val="00532C6F"/>
    <w:rsid w:val="00640794"/>
    <w:rsid w:val="006C47A8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72"/>
    <w:qFormat/>
    <w:rsid w:val="000069EA"/>
    <w:pPr>
      <w:widowControl w:val="0"/>
      <w:tabs>
        <w:tab w:val="clear" w:pos="284"/>
      </w:tabs>
      <w:autoSpaceDE w:val="0"/>
      <w:autoSpaceDN w:val="0"/>
      <w:spacing w:line="240" w:lineRule="auto"/>
      <w:ind w:left="1191" w:hanging="721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7154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546"/>
  </w:style>
  <w:style w:type="character" w:styleId="Rimandonotaapidipagina">
    <w:name w:val="footnote reference"/>
    <w:basedOn w:val="Carpredefinitoparagrafo"/>
    <w:rsid w:val="00071546"/>
    <w:rPr>
      <w:vertAlign w:val="superscript"/>
    </w:rPr>
  </w:style>
  <w:style w:type="character" w:styleId="Collegamentoipertestuale">
    <w:name w:val="Hyperlink"/>
    <w:basedOn w:val="Carpredefinitoparagrafo"/>
    <w:rsid w:val="000715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72"/>
    <w:qFormat/>
    <w:rsid w:val="000069EA"/>
    <w:pPr>
      <w:widowControl w:val="0"/>
      <w:tabs>
        <w:tab w:val="clear" w:pos="284"/>
      </w:tabs>
      <w:autoSpaceDE w:val="0"/>
      <w:autoSpaceDN w:val="0"/>
      <w:spacing w:line="240" w:lineRule="auto"/>
      <w:ind w:left="1191" w:hanging="721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7154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546"/>
  </w:style>
  <w:style w:type="character" w:styleId="Rimandonotaapidipagina">
    <w:name w:val="footnote reference"/>
    <w:basedOn w:val="Carpredefinitoparagrafo"/>
    <w:rsid w:val="00071546"/>
    <w:rPr>
      <w:vertAlign w:val="superscript"/>
    </w:rPr>
  </w:style>
  <w:style w:type="character" w:styleId="Collegamentoipertestuale">
    <w:name w:val="Hyperlink"/>
    <w:basedOn w:val="Carpredefinitoparagrafo"/>
    <w:rsid w:val="00071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hris-vogler/il-viaggio-delleroe-la-struttura-del-mito-ad-uso-di-scrittori-di-narrativa-e-di-cinema-9788875271916-22319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joseph-sassoon/storie-virali-come-creare-racconti-di-marca-capaci-di-diffondersi-in-modo-esplosivo-nel-web-9788883913785-21633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ancesco-toniolo-diego-cajelli/storytelling-crossmediale-dalla-letteratura-ai-videogiochi-9788840019987-54787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fabrizio-montanari/ecosistema-creativo-organizzazione-della-creativita-in-una-prospettiva-di-network-9788891769572-67275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campbell/leroe-dai-mille-volti-9788867084524-235699.html" TargetMode="External"/><Relationship Id="rId14" Type="http://schemas.openxmlformats.org/officeDocument/2006/relationships/hyperlink" Target="https://librerie.unicatt.it/scheda-libro/henry-jenkins/cultura-convergente-9788838787768-21569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41A7-9D6E-4E56-8495-9FE62F7F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4</Pages>
  <Words>1164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2021-06-04T08:14:00Z</dcterms:created>
  <dcterms:modified xsi:type="dcterms:W3CDTF">2021-06-30T12:39:00Z</dcterms:modified>
</cp:coreProperties>
</file>