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D4CE" w14:textId="77777777" w:rsidR="00397006" w:rsidRDefault="00397006" w:rsidP="00397006">
      <w:pPr>
        <w:pStyle w:val="Titolo1"/>
        <w:rPr>
          <w:rFonts w:eastAsia="Arial Unicode MS"/>
        </w:rPr>
      </w:pPr>
      <w:r w:rsidRPr="00716004">
        <w:rPr>
          <w:rFonts w:eastAsia="Arial Unicode MS"/>
        </w:rPr>
        <w:t>Gestione delle risorse umane</w:t>
      </w:r>
    </w:p>
    <w:p w14:paraId="2E01C9B7" w14:textId="10D6CCEF" w:rsidR="00397006" w:rsidRPr="00716004" w:rsidRDefault="00397006" w:rsidP="00397006">
      <w:pPr>
        <w:pStyle w:val="Titolo2"/>
      </w:pPr>
      <w:r w:rsidRPr="00716004">
        <w:t xml:space="preserve">Prof. </w:t>
      </w:r>
      <w:r w:rsidR="005802F2">
        <w:t>Donatella Bianchi; Prof. Maria Serena Ciambellotti</w:t>
      </w:r>
    </w:p>
    <w:p w14:paraId="15A43405" w14:textId="77777777" w:rsidR="002D5E17" w:rsidRDefault="00397006" w:rsidP="003970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8B830B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672170">
        <w:rPr>
          <w:szCs w:val="20"/>
        </w:rPr>
        <w:t>Nelle prime 6 lezioni il corso si propone di fornire agli studenti conoscenze e strumenti per gestire le risorse umane in ambito generale. Gli strumenti e le logiche della gestione delle risorse umane saranno presentate e discusse dal punto di vista della Direzione Risorse Umane, dei manager di linea e dei collaboratori, al fine di permettere agli studenti di acquisire una prospettiva completa che permetta di affrontare situazioni e tematiche di gestione delle risorse umane in modo complesso e integrato.</w:t>
      </w:r>
    </w:p>
    <w:p w14:paraId="312EFDE3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672170">
        <w:rPr>
          <w:szCs w:val="20"/>
        </w:rPr>
        <w:t>Il corso proseguirà nelle successive 6 lezioni sviluppando le tematiche relative alla leadership, all’impatto della formazione nello sviluppo delle risorse, al processo di feedback nella gestione del team e dei conflitti, al fine di preparare gli studenti alla vita organizzativa sia dalla prospettiva dell’</w:t>
      </w:r>
      <w:proofErr w:type="spellStart"/>
      <w:r w:rsidRPr="00672170">
        <w:rPr>
          <w:szCs w:val="20"/>
        </w:rPr>
        <w:t>individual</w:t>
      </w:r>
      <w:proofErr w:type="spellEnd"/>
      <w:r w:rsidRPr="00672170">
        <w:rPr>
          <w:szCs w:val="20"/>
        </w:rPr>
        <w:t xml:space="preserve"> contributor che da quella del manager .</w:t>
      </w:r>
    </w:p>
    <w:p w14:paraId="72CEAC7A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672170">
        <w:rPr>
          <w:color w:val="000000"/>
          <w:szCs w:val="20"/>
        </w:rPr>
        <w:t>Al termine di questo corso, lo studente sarà in grado di:</w:t>
      </w:r>
    </w:p>
    <w:p w14:paraId="7DBBBB4E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 xml:space="preserve">analizzare il ruolo della Direzione delle Risorse Umane nei diversi contesti organizzativi e conoscere </w:t>
      </w:r>
      <w:r w:rsidRPr="00672170">
        <w:rPr>
          <w:rFonts w:ascii="Times New Roman" w:hAnsi="Times New Roman" w:cs="Times New Roman"/>
          <w:sz w:val="20"/>
          <w:szCs w:val="20"/>
        </w:rPr>
        <w:t xml:space="preserve">il legame </w:t>
      </w:r>
      <w:r w:rsidRPr="00672170">
        <w:rPr>
          <w:rFonts w:ascii="Times New Roman" w:hAnsi="Times New Roman" w:cs="Times New Roman"/>
          <w:color w:val="000000"/>
          <w:sz w:val="20"/>
          <w:szCs w:val="20"/>
        </w:rPr>
        <w:t>fra gestione delle risorse umane e</w:t>
      </w:r>
      <w:r w:rsidRPr="00672170">
        <w:rPr>
          <w:rFonts w:ascii="Times New Roman" w:hAnsi="Times New Roman" w:cs="Times New Roman"/>
          <w:sz w:val="20"/>
          <w:szCs w:val="20"/>
        </w:rPr>
        <w:t xml:space="preserve"> strategia aziendale;</w:t>
      </w:r>
    </w:p>
    <w:p w14:paraId="260D8A43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>capire le logiche di gestione delle risorse umane durante l’</w:t>
      </w:r>
      <w:proofErr w:type="spellStart"/>
      <w:r w:rsidRPr="00672170">
        <w:rPr>
          <w:rFonts w:ascii="Times New Roman" w:hAnsi="Times New Roman" w:cs="Times New Roman"/>
          <w:color w:val="000000"/>
          <w:sz w:val="20"/>
          <w:szCs w:val="20"/>
        </w:rPr>
        <w:t>Employee</w:t>
      </w:r>
      <w:proofErr w:type="spellEnd"/>
      <w:r w:rsidRPr="00672170">
        <w:rPr>
          <w:rFonts w:ascii="Times New Roman" w:hAnsi="Times New Roman" w:cs="Times New Roman"/>
          <w:color w:val="000000"/>
          <w:sz w:val="20"/>
          <w:szCs w:val="20"/>
        </w:rPr>
        <w:t xml:space="preserve"> life </w:t>
      </w:r>
      <w:proofErr w:type="spellStart"/>
      <w:r w:rsidRPr="00672170">
        <w:rPr>
          <w:rFonts w:ascii="Times New Roman" w:hAnsi="Times New Roman" w:cs="Times New Roman"/>
          <w:color w:val="000000"/>
          <w:sz w:val="20"/>
          <w:szCs w:val="20"/>
        </w:rPr>
        <w:t>cycle</w:t>
      </w:r>
      <w:proofErr w:type="spellEnd"/>
      <w:r w:rsidRPr="00672170">
        <w:rPr>
          <w:rFonts w:ascii="Times New Roman" w:hAnsi="Times New Roman" w:cs="Times New Roman"/>
          <w:color w:val="000000"/>
          <w:sz w:val="20"/>
          <w:szCs w:val="20"/>
        </w:rPr>
        <w:t xml:space="preserve"> (processo di assunzione, valutazione, </w:t>
      </w:r>
      <w:r w:rsidRPr="00672170">
        <w:rPr>
          <w:rFonts w:ascii="Times New Roman" w:hAnsi="Times New Roman" w:cs="Times New Roman"/>
          <w:sz w:val="20"/>
          <w:szCs w:val="20"/>
        </w:rPr>
        <w:t xml:space="preserve">programmi di engagement,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rewarding</w:t>
      </w:r>
      <w:proofErr w:type="spellEnd"/>
      <w:r w:rsidRPr="00672170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707DE79B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>relazionarsi e comunicare in maniera appropriata con la Direzione delle Risorse Umane di un'azienda e con diversi interlocutori aziendali e parti sociali.</w:t>
      </w:r>
    </w:p>
    <w:p w14:paraId="292B1926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>comprendere come leggere i propri tratti di personalità e loro impatto nel comportamento organizzativo</w:t>
      </w:r>
    </w:p>
    <w:p w14:paraId="757099BF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>conoscere gli elementi da considerare nella creazione, formazione e sviluppo di un team di lavoro</w:t>
      </w:r>
    </w:p>
    <w:p w14:paraId="7BC73782" w14:textId="77777777" w:rsidR="005802F2" w:rsidRPr="00672170" w:rsidRDefault="005802F2" w:rsidP="005802F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170">
        <w:rPr>
          <w:rFonts w:ascii="Times New Roman" w:hAnsi="Times New Roman" w:cs="Times New Roman"/>
          <w:color w:val="000000"/>
          <w:sz w:val="20"/>
          <w:szCs w:val="20"/>
        </w:rPr>
        <w:t>sapersi orientare nelle dinamiche dei conflitti e nei processi di comunicazione intra team</w:t>
      </w:r>
    </w:p>
    <w:p w14:paraId="081B5525" w14:textId="77777777" w:rsidR="00397006" w:rsidRDefault="00397006" w:rsidP="003970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CC261C" w14:textId="77777777" w:rsidR="005802F2" w:rsidRPr="00672170" w:rsidRDefault="005802F2" w:rsidP="005802F2">
      <w:pPr>
        <w:rPr>
          <w:szCs w:val="20"/>
        </w:rPr>
      </w:pPr>
      <w:r w:rsidRPr="00672170">
        <w:rPr>
          <w:szCs w:val="20"/>
        </w:rPr>
        <w:t>Durante il modulo 1 del corso verranno presentati e discussi i seguenti argomenti: il valore strategico della gestione delle risorse umane; evoluzione della Direzione Risorse Umane, l’</w:t>
      </w:r>
      <w:proofErr w:type="spellStart"/>
      <w:r w:rsidRPr="00672170">
        <w:rPr>
          <w:szCs w:val="20"/>
        </w:rPr>
        <w:t>employee</w:t>
      </w:r>
      <w:proofErr w:type="spellEnd"/>
      <w:r w:rsidRPr="00672170">
        <w:rPr>
          <w:szCs w:val="20"/>
        </w:rPr>
        <w:t xml:space="preserve"> life </w:t>
      </w:r>
      <w:proofErr w:type="spellStart"/>
      <w:r w:rsidRPr="00672170">
        <w:rPr>
          <w:szCs w:val="20"/>
        </w:rPr>
        <w:t>cycle</w:t>
      </w:r>
      <w:proofErr w:type="spellEnd"/>
      <w:r w:rsidRPr="00672170">
        <w:rPr>
          <w:szCs w:val="20"/>
        </w:rPr>
        <w:t xml:space="preserve">, il processo di selezione e assunzione; politiche retributive e sistema premiante; </w:t>
      </w:r>
      <w:proofErr w:type="spellStart"/>
      <w:r w:rsidRPr="00672170">
        <w:rPr>
          <w:szCs w:val="20"/>
        </w:rPr>
        <w:t>commitment</w:t>
      </w:r>
      <w:proofErr w:type="spellEnd"/>
      <w:r w:rsidRPr="00672170">
        <w:rPr>
          <w:szCs w:val="20"/>
        </w:rPr>
        <w:t xml:space="preserve"> e engagement; performance management; relazioni sindacali e negoziazione di secondo livello. </w:t>
      </w:r>
    </w:p>
    <w:p w14:paraId="51DED8A9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672170">
        <w:rPr>
          <w:szCs w:val="20"/>
        </w:rPr>
        <w:lastRenderedPageBreak/>
        <w:t>Durante il 2 modulo le tematiche affrontate saranno: la leadership, i valori individuali e loro integrazione con la cultura organizzativa, l’intelligenza emotiva nella gestione di sé e dei collaboratori, gli impatti della formazione nello sviluppo delle risorse, il processo di feedback nella gestione del team e dei conflitti.</w:t>
      </w:r>
    </w:p>
    <w:p w14:paraId="71E9E63F" w14:textId="429C3B9D" w:rsidR="00397006" w:rsidRDefault="00397006" w:rsidP="0039700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DF3029">
        <w:rPr>
          <w:rStyle w:val="Rimandonotaapidipagina"/>
          <w:b/>
          <w:i/>
          <w:sz w:val="18"/>
        </w:rPr>
        <w:footnoteReference w:id="1"/>
      </w:r>
    </w:p>
    <w:p w14:paraId="7AE1A83F" w14:textId="37AE6ABA" w:rsidR="005B2A8C" w:rsidRPr="00DB5AE0" w:rsidRDefault="005B2A8C" w:rsidP="00440D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DB5AE0">
        <w:rPr>
          <w:rFonts w:ascii="Times New Roman" w:hAnsi="Times New Roman" w:cs="Times New Roman"/>
          <w:color w:val="222222"/>
          <w:sz w:val="18"/>
          <w:szCs w:val="20"/>
          <w:shd w:val="clear" w:color="auto" w:fill="FFFFFF"/>
        </w:rPr>
        <w:t xml:space="preserve">Costa, G., &amp; </w:t>
      </w:r>
      <w:proofErr w:type="spellStart"/>
      <w:r w:rsidRPr="00DB5AE0">
        <w:rPr>
          <w:rFonts w:ascii="Times New Roman" w:hAnsi="Times New Roman" w:cs="Times New Roman"/>
          <w:color w:val="222222"/>
          <w:sz w:val="18"/>
          <w:szCs w:val="20"/>
          <w:shd w:val="clear" w:color="auto" w:fill="FFFFFF"/>
        </w:rPr>
        <w:t>Gianecchini</w:t>
      </w:r>
      <w:proofErr w:type="spellEnd"/>
      <w:r w:rsidRPr="00DB5AE0">
        <w:rPr>
          <w:rFonts w:ascii="Times New Roman" w:hAnsi="Times New Roman" w:cs="Times New Roman"/>
          <w:color w:val="222222"/>
          <w:sz w:val="18"/>
          <w:szCs w:val="20"/>
          <w:shd w:val="clear" w:color="auto" w:fill="FFFFFF"/>
        </w:rPr>
        <w:t>, M. (2019).</w:t>
      </w:r>
      <w:r w:rsidR="00DB5AE0">
        <w:rPr>
          <w:rFonts w:ascii="Times New Roman" w:hAnsi="Times New Roman" w:cs="Times New Roman"/>
          <w:color w:val="222222"/>
          <w:sz w:val="18"/>
          <w:szCs w:val="20"/>
          <w:shd w:val="clear" w:color="auto" w:fill="FFFFFF"/>
        </w:rPr>
        <w:t xml:space="preserve"> </w:t>
      </w:r>
      <w:r w:rsidRPr="00DB5AE0">
        <w:rPr>
          <w:rFonts w:ascii="Times New Roman" w:hAnsi="Times New Roman" w:cs="Times New Roman"/>
          <w:i/>
          <w:iCs/>
          <w:color w:val="222222"/>
          <w:sz w:val="18"/>
          <w:szCs w:val="20"/>
          <w:shd w:val="clear" w:color="auto" w:fill="FFFFFF"/>
        </w:rPr>
        <w:t>Risorse umane: persone, relazioni e valore</w:t>
      </w:r>
      <w:r w:rsidRPr="00DB5AE0">
        <w:rPr>
          <w:rFonts w:ascii="Times New Roman" w:hAnsi="Times New Roman" w:cs="Times New Roman"/>
          <w:color w:val="222222"/>
          <w:sz w:val="18"/>
          <w:szCs w:val="20"/>
          <w:shd w:val="clear" w:color="auto" w:fill="FFFFFF"/>
        </w:rPr>
        <w:t xml:space="preserve">. McGraw-Hill, </w:t>
      </w:r>
      <w:r w:rsidRPr="00DB5AE0">
        <w:rPr>
          <w:rFonts w:ascii="Times New Roman" w:hAnsi="Times New Roman" w:cs="Times New Roman"/>
          <w:sz w:val="18"/>
          <w:szCs w:val="20"/>
        </w:rPr>
        <w:t>4a ed.</w:t>
      </w:r>
      <w:r w:rsidR="00DF3029">
        <w:rPr>
          <w:rFonts w:ascii="Times New Roman" w:hAnsi="Times New Roman" w:cs="Times New Roman"/>
          <w:sz w:val="18"/>
          <w:szCs w:val="20"/>
        </w:rPr>
        <w:t xml:space="preserve"> </w:t>
      </w:r>
      <w:hyperlink r:id="rId9" w:history="1">
        <w:r w:rsidR="00DF3029" w:rsidRPr="00DF302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2F53216" w14:textId="6801C82C" w:rsidR="005802F2" w:rsidRPr="00672170" w:rsidRDefault="005802F2" w:rsidP="005802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S. P. Robbins, T. A. </w:t>
      </w:r>
      <w:proofErr w:type="spellStart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Judge</w:t>
      </w:r>
      <w:proofErr w:type="spellEnd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D. </w:t>
      </w:r>
      <w:proofErr w:type="spellStart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Bodega</w:t>
      </w:r>
      <w:proofErr w:type="spellEnd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672170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Comportamento organizzativo</w:t>
      </w:r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Pearson</w:t>
      </w:r>
      <w:proofErr w:type="spellEnd"/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2016</w:t>
      </w:r>
      <w:r w:rsidR="001916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="00191670" w:rsidRPr="0019167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38F3B60" w14:textId="77777777" w:rsidR="005802F2" w:rsidRPr="00672170" w:rsidRDefault="005802F2" w:rsidP="005802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17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Pr="00672170">
        <w:rPr>
          <w:rFonts w:ascii="Times New Roman" w:hAnsi="Times New Roman" w:cs="Times New Roman"/>
          <w:sz w:val="20"/>
          <w:szCs w:val="20"/>
        </w:rPr>
        <w:t xml:space="preserve">lide, articoli,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TEDx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, casi di studio e materiale di approfondimento verranno resi disponibili on-line sulla piattaforma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 riservata agli studenti iscritti all’insegnamento.</w:t>
      </w:r>
    </w:p>
    <w:p w14:paraId="0076A6D9" w14:textId="77777777" w:rsidR="00397006" w:rsidRDefault="00397006" w:rsidP="003970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1E8FF6" w14:textId="77777777" w:rsidR="005802F2" w:rsidRPr="00672170" w:rsidRDefault="005802F2" w:rsidP="005802F2">
      <w:pPr>
        <w:spacing w:line="240" w:lineRule="auto"/>
        <w:rPr>
          <w:szCs w:val="20"/>
        </w:rPr>
      </w:pPr>
      <w:r w:rsidRPr="00672170">
        <w:rPr>
          <w:szCs w:val="20"/>
        </w:rPr>
        <w:tab/>
        <w:t xml:space="preserve">Lezioni formali, lettura e discussione articoli, </w:t>
      </w:r>
      <w:proofErr w:type="spellStart"/>
      <w:r w:rsidRPr="00672170">
        <w:rPr>
          <w:szCs w:val="20"/>
        </w:rPr>
        <w:t>TEDx</w:t>
      </w:r>
      <w:proofErr w:type="spellEnd"/>
      <w:r w:rsidRPr="00672170">
        <w:rPr>
          <w:szCs w:val="20"/>
        </w:rPr>
        <w:t>, discussione di casi di studio, testimonianze.</w:t>
      </w:r>
    </w:p>
    <w:p w14:paraId="004A395A" w14:textId="77777777" w:rsidR="00397006" w:rsidRDefault="00397006" w:rsidP="003970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F91A7C6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i/>
          <w:iCs/>
          <w:szCs w:val="20"/>
        </w:rPr>
      </w:pPr>
      <w:r w:rsidRPr="00672170">
        <w:rPr>
          <w:i/>
          <w:iCs/>
          <w:szCs w:val="20"/>
          <w:u w:val="single"/>
        </w:rPr>
        <w:t>Per studenti frequentanti</w:t>
      </w:r>
      <w:r w:rsidRPr="00672170">
        <w:rPr>
          <w:i/>
          <w:iCs/>
          <w:szCs w:val="20"/>
        </w:rPr>
        <w:t>:</w:t>
      </w:r>
    </w:p>
    <w:p w14:paraId="51DE25C1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672170">
        <w:rPr>
          <w:szCs w:val="20"/>
        </w:rPr>
        <w:t>La valutazione finale si basa sullo svolgimento di un lavoro di gruppo e di una prova scritta individuale a fine corso:</w:t>
      </w:r>
    </w:p>
    <w:p w14:paraId="525B3A40" w14:textId="77777777" w:rsidR="005802F2" w:rsidRPr="00672170" w:rsidRDefault="005802F2" w:rsidP="005802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170">
        <w:rPr>
          <w:rFonts w:ascii="Times New Roman" w:hAnsi="Times New Roman" w:cs="Times New Roman"/>
          <w:b/>
          <w:bCs/>
          <w:sz w:val="20"/>
          <w:szCs w:val="20"/>
        </w:rPr>
        <w:t>50%: prova scritta individuale di fine corso</w:t>
      </w:r>
      <w:r w:rsidRPr="0067217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72170">
        <w:rPr>
          <w:rFonts w:ascii="Times New Roman" w:hAnsi="Times New Roman" w:cs="Times New Roman"/>
          <w:sz w:val="20"/>
          <w:szCs w:val="20"/>
        </w:rPr>
        <w:t xml:space="preserve">che verterà sul programma svolto in aula. Sono oggetto di verifica il manuale, le slide, gli articoli, i casi di studio, le testimonianze degli ospiti e il materiale di approfondimento disponibile on-line sulla pagina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 del corso. La prova è strutturata in domande aperte in cui sarà richiesto di utilizzare: le conoscenze e le capacità di lettura e analisi dei processi di gestione delle risorse umane e le capacità di espressione della leadership individuale e di gruppo sviluppate durante il corso.</w:t>
      </w:r>
    </w:p>
    <w:p w14:paraId="10D67AA0" w14:textId="77777777" w:rsidR="005802F2" w:rsidRPr="00672170" w:rsidRDefault="005802F2" w:rsidP="005802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170">
        <w:rPr>
          <w:rFonts w:ascii="Times New Roman" w:hAnsi="Times New Roman" w:cs="Times New Roman"/>
          <w:b/>
          <w:bCs/>
          <w:sz w:val="20"/>
          <w:szCs w:val="20"/>
        </w:rPr>
        <w:t>30%: lavoro di gruppo</w:t>
      </w:r>
      <w:r w:rsidRPr="0067217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72170">
        <w:rPr>
          <w:rFonts w:ascii="Times New Roman" w:hAnsi="Times New Roman" w:cs="Times New Roman"/>
          <w:sz w:val="20"/>
          <w:szCs w:val="20"/>
        </w:rPr>
        <w:t xml:space="preserve">finalizzato all’analisi di un caso aziendale con cui sperimentare e consolidare le competenze acquisite durante il corso. Il lavoro di gruppo sarà da consegnare via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 e da presentare e discutere alla fine del corso.</w:t>
      </w:r>
      <w:r w:rsidRPr="00672170">
        <w:rPr>
          <w:rFonts w:ascii="Times New Roman" w:hAnsi="Times New Roman" w:cs="Times New Roman"/>
          <w:sz w:val="20"/>
          <w:szCs w:val="20"/>
        </w:rPr>
        <w:br/>
      </w:r>
      <w:r w:rsidRPr="00672170">
        <w:rPr>
          <w:rFonts w:ascii="Times New Roman" w:hAnsi="Times New Roman" w:cs="Times New Roman"/>
          <w:sz w:val="20"/>
          <w:szCs w:val="20"/>
          <w:u w:val="single"/>
        </w:rPr>
        <w:t xml:space="preserve">Il voto del lavoro di gruppo rimane valido solo per gli appelli estivi </w:t>
      </w:r>
    </w:p>
    <w:p w14:paraId="0F2B09A5" w14:textId="77777777" w:rsidR="005802F2" w:rsidRPr="00672170" w:rsidRDefault="005802F2" w:rsidP="005802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2170">
        <w:rPr>
          <w:rFonts w:ascii="Times New Roman" w:hAnsi="Times New Roman" w:cs="Times New Roman"/>
          <w:b/>
          <w:bCs/>
          <w:sz w:val="20"/>
          <w:szCs w:val="20"/>
        </w:rPr>
        <w:t>20% partecipazione individuale attiva durante le lezioni</w:t>
      </w:r>
    </w:p>
    <w:p w14:paraId="011DB74B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ind w:left="720"/>
        <w:rPr>
          <w:szCs w:val="20"/>
        </w:rPr>
      </w:pPr>
      <w:r w:rsidRPr="00672170">
        <w:rPr>
          <w:szCs w:val="20"/>
        </w:rPr>
        <w:lastRenderedPageBreak/>
        <w:t xml:space="preserve">Gli studenti avranno l’opportunità di discutere casi, interagire con i guest speaker, creare momenti di confronto durante la lezione. La qualità della loro partecipazione sarà valutata lungo l’arco di tutte le lezioni.  </w:t>
      </w:r>
    </w:p>
    <w:p w14:paraId="6C0D5C22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i/>
          <w:iCs/>
          <w:szCs w:val="20"/>
        </w:rPr>
      </w:pPr>
      <w:r w:rsidRPr="00672170">
        <w:rPr>
          <w:i/>
          <w:iCs/>
          <w:szCs w:val="20"/>
          <w:u w:val="single"/>
        </w:rPr>
        <w:t>Per studenti non frequentanti</w:t>
      </w:r>
      <w:r w:rsidRPr="00672170">
        <w:rPr>
          <w:i/>
          <w:iCs/>
          <w:szCs w:val="20"/>
        </w:rPr>
        <w:t>:</w:t>
      </w:r>
    </w:p>
    <w:p w14:paraId="579484C7" w14:textId="77777777" w:rsidR="005802F2" w:rsidRPr="00672170" w:rsidRDefault="005802F2" w:rsidP="005802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672170">
        <w:rPr>
          <w:szCs w:val="20"/>
        </w:rPr>
        <w:t>La valutazione finale si basa sullo svolgimento di una prova scritta individuale a fine corso:</w:t>
      </w:r>
    </w:p>
    <w:p w14:paraId="77B6B868" w14:textId="77777777" w:rsidR="005802F2" w:rsidRPr="00672170" w:rsidRDefault="005802F2" w:rsidP="005802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170">
        <w:rPr>
          <w:rFonts w:ascii="Times New Roman" w:hAnsi="Times New Roman" w:cs="Times New Roman"/>
          <w:b/>
          <w:bCs/>
          <w:sz w:val="20"/>
          <w:szCs w:val="20"/>
        </w:rPr>
        <w:t>100%: prova scritta individuale di fine corso</w:t>
      </w:r>
      <w:r w:rsidRPr="00672170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72170">
        <w:rPr>
          <w:rFonts w:ascii="Times New Roman" w:hAnsi="Times New Roman" w:cs="Times New Roman"/>
          <w:sz w:val="20"/>
          <w:szCs w:val="20"/>
        </w:rPr>
        <w:t xml:space="preserve">Sono oggetto di verifica i manuali, le slide, gli articoli, i casi di studio, le testimonianze degli ospiti (se disponibili in video su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) e il materiale di approfondimento disponibile on-line sulla pagina </w:t>
      </w:r>
      <w:proofErr w:type="spellStart"/>
      <w:r w:rsidRPr="00672170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72170">
        <w:rPr>
          <w:rFonts w:ascii="Times New Roman" w:hAnsi="Times New Roman" w:cs="Times New Roman"/>
          <w:sz w:val="20"/>
          <w:szCs w:val="20"/>
        </w:rPr>
        <w:t xml:space="preserve"> del corso. La prova è strutturata in domande aperte in cui sarà richiesto di utilizzare: le conoscenze e le capacità di lettura e analisi dei processi di gestione delle risorse umane e le capacità di espressione della leadership individuale e di gruppo sviluppate durante il corso.</w:t>
      </w:r>
    </w:p>
    <w:p w14:paraId="4EA8BC5D" w14:textId="73C386B4" w:rsidR="00397006" w:rsidRDefault="00397006" w:rsidP="0039700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BF32C59" w14:textId="77777777" w:rsidR="005802F2" w:rsidRPr="00672170" w:rsidRDefault="005802F2" w:rsidP="005802F2">
      <w:pPr>
        <w:pStyle w:val="Testo2"/>
        <w:ind w:firstLine="0"/>
        <w:rPr>
          <w:rFonts w:ascii="Times New Roman" w:hAnsi="Times New Roman"/>
          <w:sz w:val="20"/>
        </w:rPr>
      </w:pPr>
      <w:r w:rsidRPr="00672170">
        <w:rPr>
          <w:rFonts w:ascii="Times New Roman" w:hAnsi="Times New Roman"/>
          <w:sz w:val="20"/>
        </w:rPr>
        <w:t>È richiesta una conoscenza di base di management e organizzazione aziendale. Si consiglia agli studenti che non possiedono tali conoscenze, di svolgere un'attività preliminare di allineamento. A tal fine consigliamo la lettura dei seguenti testi:</w:t>
      </w:r>
    </w:p>
    <w:p w14:paraId="1AF92F2C" w14:textId="77777777" w:rsidR="005802F2" w:rsidRPr="00672170" w:rsidRDefault="005802F2" w:rsidP="005802F2">
      <w:pPr>
        <w:pStyle w:val="Paragrafoelenco"/>
        <w:numPr>
          <w:ilvl w:val="0"/>
          <w:numId w:val="11"/>
        </w:numPr>
        <w:spacing w:line="240" w:lineRule="atLeast"/>
        <w:ind w:left="284" w:hanging="142"/>
        <w:rPr>
          <w:rFonts w:ascii="Times New Roman" w:hAnsi="Times New Roman" w:cs="Times New Roman"/>
          <w:spacing w:val="-5"/>
          <w:sz w:val="20"/>
          <w:szCs w:val="20"/>
        </w:rPr>
      </w:pPr>
      <w:proofErr w:type="spellStart"/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</w:rPr>
        <w:t>Bodega</w:t>
      </w:r>
      <w:proofErr w:type="spellEnd"/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D., </w:t>
      </w:r>
      <w:proofErr w:type="spellStart"/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</w:rPr>
        <w:t>Scaratti</w:t>
      </w:r>
      <w:proofErr w:type="spellEnd"/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G., </w:t>
      </w:r>
      <w:r w:rsidRPr="0067217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Organizzazione</w:t>
      </w:r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Egea, Milano 2013 </w:t>
      </w:r>
      <w:hyperlink r:id="rId11" w:history="1">
        <w:r w:rsidRPr="00672170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Acquista da VP</w:t>
        </w:r>
      </w:hyperlink>
    </w:p>
    <w:p w14:paraId="6493607B" w14:textId="77777777" w:rsidR="005802F2" w:rsidRPr="00672170" w:rsidRDefault="005802F2" w:rsidP="005802F2">
      <w:pPr>
        <w:pStyle w:val="Paragrafoelenco"/>
        <w:numPr>
          <w:ilvl w:val="0"/>
          <w:numId w:val="11"/>
        </w:numPr>
        <w:spacing w:line="240" w:lineRule="atLeast"/>
        <w:ind w:left="284" w:hanging="142"/>
        <w:rPr>
          <w:rFonts w:ascii="Times New Roman" w:hAnsi="Times New Roman" w:cs="Times New Roman"/>
          <w:spacing w:val="-5"/>
          <w:sz w:val="20"/>
          <w:szCs w:val="20"/>
          <w:lang w:val="en-US"/>
        </w:rPr>
      </w:pPr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Roberts, J., </w:t>
      </w:r>
      <w:r w:rsidRPr="0067217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US"/>
        </w:rPr>
        <w:t>The Modern Firm: Organizational Design for Performance and Growth</w:t>
      </w:r>
      <w:r w:rsidRPr="0067217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Oxford</w:t>
      </w:r>
      <w:r w:rsidRPr="00672170">
        <w:rPr>
          <w:rFonts w:ascii="Times New Roman" w:hAnsi="Times New Roman" w:cs="Times New Roman"/>
          <w:spacing w:val="-5"/>
          <w:sz w:val="20"/>
          <w:szCs w:val="20"/>
          <w:lang w:val="en-US"/>
        </w:rPr>
        <w:t xml:space="preserve"> University Press, 2007. </w:t>
      </w:r>
      <w:hyperlink r:id="rId12" w:history="1">
        <w:proofErr w:type="spellStart"/>
        <w:r w:rsidRPr="00672170"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en-US"/>
          </w:rPr>
          <w:t>Acquista</w:t>
        </w:r>
        <w:proofErr w:type="spellEnd"/>
        <w:r w:rsidRPr="00672170"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en-US"/>
          </w:rPr>
          <w:t xml:space="preserve"> da VP</w:t>
        </w:r>
      </w:hyperlink>
    </w:p>
    <w:sectPr w:rsidR="005802F2" w:rsidRPr="006721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AF8C" w14:textId="77777777" w:rsidR="00DF3029" w:rsidRDefault="00DF3029" w:rsidP="00DF3029">
      <w:pPr>
        <w:spacing w:line="240" w:lineRule="auto"/>
      </w:pPr>
      <w:r>
        <w:separator/>
      </w:r>
    </w:p>
  </w:endnote>
  <w:endnote w:type="continuationSeparator" w:id="0">
    <w:p w14:paraId="7960A48B" w14:textId="77777777" w:rsidR="00DF3029" w:rsidRDefault="00DF3029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2428" w14:textId="77777777" w:rsidR="00DF3029" w:rsidRDefault="00DF3029" w:rsidP="00DF3029">
      <w:pPr>
        <w:spacing w:line="240" w:lineRule="auto"/>
      </w:pPr>
      <w:r>
        <w:separator/>
      </w:r>
    </w:p>
  </w:footnote>
  <w:footnote w:type="continuationSeparator" w:id="0">
    <w:p w14:paraId="26DB2C7B" w14:textId="77777777" w:rsidR="00DF3029" w:rsidRDefault="00DF3029" w:rsidP="00DF3029">
      <w:pPr>
        <w:spacing w:line="240" w:lineRule="auto"/>
      </w:pPr>
      <w:r>
        <w:continuationSeparator/>
      </w:r>
    </w:p>
  </w:footnote>
  <w:footnote w:id="1">
    <w:p w14:paraId="7EA7DF15" w14:textId="27C9565F" w:rsidR="00DF3029" w:rsidRDefault="00DF30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305"/>
    <w:multiLevelType w:val="hybridMultilevel"/>
    <w:tmpl w:val="2F624BFE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0B4"/>
    <w:multiLevelType w:val="hybridMultilevel"/>
    <w:tmpl w:val="7EFCF65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BC5"/>
    <w:multiLevelType w:val="hybridMultilevel"/>
    <w:tmpl w:val="EA10FAB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B5E42"/>
    <w:multiLevelType w:val="hybridMultilevel"/>
    <w:tmpl w:val="28F83104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2641"/>
    <w:multiLevelType w:val="hybridMultilevel"/>
    <w:tmpl w:val="AB9E481C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C4F01"/>
    <w:multiLevelType w:val="hybridMultilevel"/>
    <w:tmpl w:val="5FA24746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4B40"/>
    <w:multiLevelType w:val="hybridMultilevel"/>
    <w:tmpl w:val="5E985DF2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27DE"/>
    <w:multiLevelType w:val="hybridMultilevel"/>
    <w:tmpl w:val="3A145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372BF"/>
    <w:multiLevelType w:val="hybridMultilevel"/>
    <w:tmpl w:val="DBE69CF6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0DEB"/>
    <w:multiLevelType w:val="hybridMultilevel"/>
    <w:tmpl w:val="0C08E966"/>
    <w:lvl w:ilvl="0" w:tplc="7ED65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7B8C"/>
    <w:multiLevelType w:val="hybridMultilevel"/>
    <w:tmpl w:val="E850DE50"/>
    <w:lvl w:ilvl="0" w:tplc="F3DA7A24">
      <w:start w:val="1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A"/>
    <w:rsid w:val="000278FC"/>
    <w:rsid w:val="00063708"/>
    <w:rsid w:val="00086F82"/>
    <w:rsid w:val="000A716F"/>
    <w:rsid w:val="0016371F"/>
    <w:rsid w:val="00187B99"/>
    <w:rsid w:val="00191670"/>
    <w:rsid w:val="001B7526"/>
    <w:rsid w:val="001C4551"/>
    <w:rsid w:val="002014DD"/>
    <w:rsid w:val="002146BC"/>
    <w:rsid w:val="002273E6"/>
    <w:rsid w:val="002740B4"/>
    <w:rsid w:val="002D1A08"/>
    <w:rsid w:val="002D5E17"/>
    <w:rsid w:val="003228F4"/>
    <w:rsid w:val="00397006"/>
    <w:rsid w:val="00440DB0"/>
    <w:rsid w:val="00440DF2"/>
    <w:rsid w:val="004D1217"/>
    <w:rsid w:val="004D6008"/>
    <w:rsid w:val="005802F2"/>
    <w:rsid w:val="005911C4"/>
    <w:rsid w:val="005A1C74"/>
    <w:rsid w:val="005B2A8C"/>
    <w:rsid w:val="00602DBD"/>
    <w:rsid w:val="00640794"/>
    <w:rsid w:val="006479BA"/>
    <w:rsid w:val="006F1772"/>
    <w:rsid w:val="006F458A"/>
    <w:rsid w:val="0073369F"/>
    <w:rsid w:val="00752F45"/>
    <w:rsid w:val="00846C08"/>
    <w:rsid w:val="008942E7"/>
    <w:rsid w:val="008A1204"/>
    <w:rsid w:val="00900CCA"/>
    <w:rsid w:val="009061AC"/>
    <w:rsid w:val="00924B77"/>
    <w:rsid w:val="00940DA2"/>
    <w:rsid w:val="009B2CD3"/>
    <w:rsid w:val="009C278C"/>
    <w:rsid w:val="009D0AE5"/>
    <w:rsid w:val="009E055C"/>
    <w:rsid w:val="00A044C2"/>
    <w:rsid w:val="00A134AE"/>
    <w:rsid w:val="00A2789A"/>
    <w:rsid w:val="00A74F6F"/>
    <w:rsid w:val="00A7717C"/>
    <w:rsid w:val="00A84846"/>
    <w:rsid w:val="00A946CA"/>
    <w:rsid w:val="00AD7557"/>
    <w:rsid w:val="00B50C5D"/>
    <w:rsid w:val="00B51253"/>
    <w:rsid w:val="00B525CC"/>
    <w:rsid w:val="00BA0F4F"/>
    <w:rsid w:val="00C17248"/>
    <w:rsid w:val="00C25F91"/>
    <w:rsid w:val="00C7578F"/>
    <w:rsid w:val="00CF30A0"/>
    <w:rsid w:val="00D048C0"/>
    <w:rsid w:val="00D404F2"/>
    <w:rsid w:val="00DB5AE0"/>
    <w:rsid w:val="00DD5252"/>
    <w:rsid w:val="00DF3029"/>
    <w:rsid w:val="00E368BD"/>
    <w:rsid w:val="00E607E6"/>
    <w:rsid w:val="00F8222A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17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724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72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2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248"/>
    <w:rPr>
      <w:b/>
      <w:bCs/>
    </w:rPr>
  </w:style>
  <w:style w:type="paragraph" w:styleId="Paragrafoelenco">
    <w:name w:val="List Paragraph"/>
    <w:basedOn w:val="Normale"/>
    <w:uiPriority w:val="34"/>
    <w:qFormat/>
    <w:rsid w:val="00C17248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17248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17248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uiPriority w:val="39"/>
    <w:rsid w:val="002273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F30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029"/>
  </w:style>
  <w:style w:type="character" w:styleId="Rimandonotaapidipagina">
    <w:name w:val="footnote reference"/>
    <w:basedOn w:val="Carpredefinitoparagrafo"/>
    <w:rsid w:val="00DF3029"/>
    <w:rPr>
      <w:vertAlign w:val="superscript"/>
    </w:rPr>
  </w:style>
  <w:style w:type="character" w:styleId="Collegamentoipertestuale">
    <w:name w:val="Hyperlink"/>
    <w:basedOn w:val="Carpredefinitoparagrafo"/>
    <w:rsid w:val="00DF30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17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724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72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2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248"/>
    <w:rPr>
      <w:b/>
      <w:bCs/>
    </w:rPr>
  </w:style>
  <w:style w:type="paragraph" w:styleId="Paragrafoelenco">
    <w:name w:val="List Paragraph"/>
    <w:basedOn w:val="Normale"/>
    <w:uiPriority w:val="34"/>
    <w:qFormat/>
    <w:rsid w:val="00C17248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17248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17248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uiPriority w:val="39"/>
    <w:rsid w:val="002273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F30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029"/>
  </w:style>
  <w:style w:type="character" w:styleId="Rimandonotaapidipagina">
    <w:name w:val="footnote reference"/>
    <w:basedOn w:val="Carpredefinitoparagrafo"/>
    <w:rsid w:val="00DF3029"/>
    <w:rPr>
      <w:vertAlign w:val="superscript"/>
    </w:rPr>
  </w:style>
  <w:style w:type="character" w:styleId="Collegamentoipertestuale">
    <w:name w:val="Hyperlink"/>
    <w:basedOn w:val="Carpredefinitoparagrafo"/>
    <w:rsid w:val="00DF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s-john/modern-firm-organizational-design-for-performace-and-growth-9780198293750-1893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odega-domenico-scaratti-giuseppe/organizzazione-9788823827097-1826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costa-martina-gianecchini/risorse-umane-persone-relazioni-e-valore-9788838669163-67472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3976-B4C1-43F5-9535-E88BDCFF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836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62</cp:revision>
  <cp:lastPrinted>2003-03-27T10:42:00Z</cp:lastPrinted>
  <dcterms:created xsi:type="dcterms:W3CDTF">2019-06-11T13:59:00Z</dcterms:created>
  <dcterms:modified xsi:type="dcterms:W3CDTF">2022-02-16T10:09:00Z</dcterms:modified>
</cp:coreProperties>
</file>