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36" w:rsidRDefault="00A54736" w:rsidP="00533548">
      <w:pPr>
        <w:pStyle w:val="Titolo1"/>
      </w:pPr>
      <w:r>
        <w:t>Storia del diritto romano</w:t>
      </w:r>
    </w:p>
    <w:p w:rsidR="00A54736" w:rsidRPr="001A0798" w:rsidRDefault="00A54736" w:rsidP="00533548">
      <w:pPr>
        <w:pStyle w:val="Titolo2"/>
      </w:pPr>
      <w:r>
        <w:t>Prof. Ernesto Bianchi</w:t>
      </w:r>
    </w:p>
    <w:p w:rsidR="00A54736" w:rsidRDefault="00A54736" w:rsidP="00533548">
      <w:pPr>
        <w:spacing w:before="240" w:after="120" w:line="240" w:lineRule="exact"/>
        <w:rPr>
          <w:b/>
          <w:bCs/>
          <w:sz w:val="18"/>
          <w:szCs w:val="18"/>
        </w:rPr>
      </w:pPr>
      <w:r>
        <w:rPr>
          <w:b/>
          <w:bCs/>
          <w:i/>
          <w:iCs/>
          <w:sz w:val="18"/>
          <w:szCs w:val="18"/>
        </w:rPr>
        <w:t>OBIETTIVO DEL CORSO E RISULTATI DI APPRENDIMENTO ATTESI</w:t>
      </w:r>
    </w:p>
    <w:p w:rsidR="00A54736" w:rsidRDefault="00A54736" w:rsidP="00533548">
      <w:pPr>
        <w:spacing w:line="240" w:lineRule="exact"/>
      </w:pPr>
      <w:r>
        <w:t>Il corso si propone di t</w:t>
      </w:r>
      <w:r w:rsidRPr="00DA4026">
        <w:t xml:space="preserve">racciare, in prospettiva storica, i punti salienti del diritto pubblico romano mettendoli </w:t>
      </w:r>
      <w:r>
        <w:t>in</w:t>
      </w:r>
      <w:r w:rsidRPr="00DA4026">
        <w:t xml:space="preserve"> connessione alle altre sfere giuridiche (diritto sacro, civile, criminale) ed evidenziandone l’attualità.</w:t>
      </w:r>
    </w:p>
    <w:p w:rsidR="00A54736" w:rsidRDefault="00A54736" w:rsidP="00533548">
      <w:pPr>
        <w:spacing w:line="240" w:lineRule="exact"/>
      </w:pPr>
      <w:r w:rsidRPr="000D6030">
        <w:t>Al termine dell’insegnamento, lo studente raggiungerà le conoscenze di base del sistema giuridico romano pubblico nelle sue diverse fasi storiche, potrà usare il lessico e le categorie interpretative della disciplina e orientarsi tra le principali fonti della materia, acquisendo il senso critico necessario per una migliore comprensione della realtà giuridica</w:t>
      </w:r>
      <w:r>
        <w:t xml:space="preserve"> contemporanea</w:t>
      </w:r>
      <w:r w:rsidRPr="000D6030">
        <w:t xml:space="preserve">. </w:t>
      </w:r>
    </w:p>
    <w:p w:rsidR="00A54736" w:rsidRDefault="00A54736" w:rsidP="00533548">
      <w:pPr>
        <w:spacing w:before="240" w:after="120" w:line="240" w:lineRule="exact"/>
        <w:rPr>
          <w:b/>
          <w:bCs/>
          <w:sz w:val="18"/>
          <w:szCs w:val="18"/>
        </w:rPr>
      </w:pPr>
      <w:r>
        <w:rPr>
          <w:b/>
          <w:bCs/>
          <w:i/>
          <w:iCs/>
          <w:sz w:val="18"/>
          <w:szCs w:val="18"/>
        </w:rPr>
        <w:t>PROGRAMMA DEL CORSO</w:t>
      </w:r>
    </w:p>
    <w:p w:rsidR="00A54736" w:rsidRPr="00DA4026" w:rsidRDefault="00A54736" w:rsidP="00533548">
      <w:pPr>
        <w:spacing w:line="240" w:lineRule="exact"/>
      </w:pPr>
      <w:r w:rsidRPr="00DA4026">
        <w:t xml:space="preserve">L’assetto costituzionale di Roma arcaica con particolare riguardo ai profili di </w:t>
      </w:r>
      <w:proofErr w:type="spellStart"/>
      <w:r w:rsidRPr="00DA4026">
        <w:rPr>
          <w:i/>
          <w:iCs/>
        </w:rPr>
        <w:t>ius</w:t>
      </w:r>
      <w:proofErr w:type="spellEnd"/>
      <w:r w:rsidRPr="00DA4026">
        <w:rPr>
          <w:i/>
          <w:iCs/>
        </w:rPr>
        <w:t xml:space="preserve"> </w:t>
      </w:r>
      <w:proofErr w:type="spellStart"/>
      <w:r w:rsidRPr="00DA4026">
        <w:rPr>
          <w:i/>
          <w:iCs/>
        </w:rPr>
        <w:t>sacrum</w:t>
      </w:r>
      <w:proofErr w:type="spellEnd"/>
      <w:r>
        <w:t>; le fasi della monarchia</w:t>
      </w:r>
      <w:r w:rsidRPr="00DA4026">
        <w:t>; la nascita delle ‘magistrature’ e i tratti della costituzione repubblicana nel loro divenire (si darà particolare conto della nozione di ‘potere giurisdizionale’); le linee di continuità nella transizione al principato e al regime imperiale; cenni agli assetti della monarchia assoluta e del tardo impero. Unitamente agli elementi ‘costituzionali’, saranno rammentate le principali fonti giuridiche e saranno tracciati gli schemi più significativi della riflessione giurisprudenziale a partire da quelli arcaici sino a</w:t>
      </w:r>
      <w:r>
        <w:t xml:space="preserve"> quelli che connotano l</w:t>
      </w:r>
      <w:r w:rsidRPr="00DA4026">
        <w:t>a codificazione giustinianea.</w:t>
      </w:r>
    </w:p>
    <w:p w:rsidR="00A54736" w:rsidRDefault="00A54736" w:rsidP="00533548">
      <w:pPr>
        <w:keepNext/>
        <w:spacing w:before="240" w:after="120" w:line="240" w:lineRule="exact"/>
        <w:rPr>
          <w:b/>
          <w:bCs/>
          <w:sz w:val="18"/>
          <w:szCs w:val="18"/>
        </w:rPr>
      </w:pPr>
      <w:r>
        <w:rPr>
          <w:b/>
          <w:bCs/>
          <w:i/>
          <w:iCs/>
          <w:sz w:val="18"/>
          <w:szCs w:val="18"/>
        </w:rPr>
        <w:t>BIBLIOGRAFIA</w:t>
      </w:r>
      <w:r w:rsidR="00DB51B5">
        <w:rPr>
          <w:rStyle w:val="Rimandonotaapidipagina"/>
          <w:b/>
          <w:bCs/>
          <w:i/>
          <w:iCs/>
          <w:sz w:val="18"/>
          <w:szCs w:val="18"/>
        </w:rPr>
        <w:footnoteReference w:id="1"/>
      </w:r>
    </w:p>
    <w:p w:rsidR="00A54736" w:rsidRPr="00B04C83" w:rsidRDefault="00A54736" w:rsidP="00533548">
      <w:pPr>
        <w:pStyle w:val="Testo2"/>
        <w:rPr>
          <w:i/>
          <w:iCs/>
        </w:rPr>
      </w:pPr>
      <w:r w:rsidRPr="009F35B9">
        <w:t xml:space="preserve">Per gli studenti </w:t>
      </w:r>
      <w:r w:rsidRPr="00B04C83">
        <w:rPr>
          <w:i/>
          <w:iCs/>
        </w:rPr>
        <w:t>frequentanti</w:t>
      </w:r>
    </w:p>
    <w:p w:rsidR="00A54736" w:rsidRPr="00533548" w:rsidRDefault="00A54736" w:rsidP="00533548">
      <w:pPr>
        <w:pStyle w:val="Testo2"/>
        <w:rPr>
          <w:spacing w:val="-5"/>
        </w:rPr>
      </w:pPr>
      <w:r>
        <w:t>Appunti delle lezioni, integrati, per quanto concerne la compilazione giustinianea, dalla lettura</w:t>
      </w:r>
      <w:r w:rsidRPr="009F35B9">
        <w:t xml:space="preserve"> di</w:t>
      </w:r>
      <w:r>
        <w:t xml:space="preserve"> parte del libro di</w:t>
      </w:r>
      <w:r w:rsidRPr="009F35B9">
        <w:t xml:space="preserve">: </w:t>
      </w:r>
      <w:r w:rsidRPr="009F35B9">
        <w:rPr>
          <w:smallCaps/>
          <w:spacing w:val="-5"/>
          <w:sz w:val="16"/>
          <w:szCs w:val="16"/>
        </w:rPr>
        <w:t>L. Maganzani,</w:t>
      </w:r>
      <w:r w:rsidRPr="009F35B9">
        <w:rPr>
          <w:i/>
          <w:iCs/>
          <w:spacing w:val="-5"/>
        </w:rPr>
        <w:t xml:space="preserve"> Formazione e vicende di un’opera illustre. Il Corpus Iuris nella cultura del giurista europeo,</w:t>
      </w:r>
      <w:r w:rsidRPr="009F35B9">
        <w:rPr>
          <w:spacing w:val="-5"/>
        </w:rPr>
        <w:t xml:space="preserve"> Torino, 2007</w:t>
      </w:r>
      <w:r>
        <w:rPr>
          <w:spacing w:val="-5"/>
        </w:rPr>
        <w:t xml:space="preserve">. Del testo andranno lette le pagine da 3 a 99. </w:t>
      </w:r>
      <w:hyperlink r:id="rId8" w:history="1">
        <w:r w:rsidR="00DB51B5" w:rsidRPr="00DB51B5">
          <w:rPr>
            <w:rStyle w:val="Collegamentoipertestuale"/>
            <w:rFonts w:ascii="Times New Roman" w:hAnsi="Times New Roman" w:cs="Times New Roman"/>
            <w:i/>
            <w:sz w:val="16"/>
            <w:szCs w:val="16"/>
          </w:rPr>
          <w:t>Acquista da VP</w:t>
        </w:r>
      </w:hyperlink>
    </w:p>
    <w:p w:rsidR="00A54736" w:rsidRPr="009F35B9" w:rsidRDefault="00A54736" w:rsidP="00533548">
      <w:pPr>
        <w:pStyle w:val="Testo2"/>
        <w:spacing w:before="120"/>
      </w:pPr>
      <w:r w:rsidRPr="009F35B9">
        <w:t xml:space="preserve">Per gli studenti </w:t>
      </w:r>
      <w:r w:rsidRPr="00B04C83">
        <w:rPr>
          <w:i/>
          <w:iCs/>
        </w:rPr>
        <w:t>non frequentanti</w:t>
      </w:r>
    </w:p>
    <w:p w:rsidR="00A54736" w:rsidRPr="00533548" w:rsidRDefault="00A54736" w:rsidP="00533548">
      <w:pPr>
        <w:pStyle w:val="Testo2"/>
        <w:spacing w:line="240" w:lineRule="atLeast"/>
        <w:ind w:left="284" w:hanging="284"/>
        <w:rPr>
          <w:spacing w:val="-5"/>
        </w:rPr>
      </w:pPr>
      <w:r w:rsidRPr="008141B5">
        <w:rPr>
          <w:smallCaps/>
          <w:spacing w:val="-5"/>
          <w:sz w:val="16"/>
          <w:szCs w:val="16"/>
        </w:rPr>
        <w:t>V. Arangio-Ruiz</w:t>
      </w:r>
      <w:r w:rsidRPr="00533548">
        <w:rPr>
          <w:smallCaps/>
          <w:spacing w:val="-5"/>
          <w:sz w:val="16"/>
          <w:szCs w:val="16"/>
        </w:rPr>
        <w:t>,</w:t>
      </w:r>
      <w:r w:rsidRPr="00533548">
        <w:rPr>
          <w:i/>
          <w:iCs/>
          <w:spacing w:val="-5"/>
        </w:rPr>
        <w:t xml:space="preserve"> Storia del Diritto Romano,</w:t>
      </w:r>
      <w:r w:rsidRPr="00533548">
        <w:rPr>
          <w:spacing w:val="-5"/>
        </w:rPr>
        <w:t xml:space="preserve"> Jovene, Napoli, ult. ed. o, comunque, successiva alla terza. Il testo andrà studiato nella sua intergralità.</w:t>
      </w:r>
      <w:r w:rsidR="00DB51B5">
        <w:rPr>
          <w:spacing w:val="-5"/>
        </w:rPr>
        <w:t xml:space="preserve"> </w:t>
      </w:r>
      <w:hyperlink r:id="rId9" w:history="1">
        <w:r w:rsidR="00DB51B5" w:rsidRPr="00DB51B5">
          <w:rPr>
            <w:rStyle w:val="Collegamentoipertestuale"/>
            <w:rFonts w:ascii="Times New Roman" w:hAnsi="Times New Roman" w:cs="Times New Roman"/>
            <w:i/>
            <w:sz w:val="16"/>
            <w:szCs w:val="16"/>
          </w:rPr>
          <w:t>Acquista da VP</w:t>
        </w:r>
      </w:hyperlink>
      <w:bookmarkStart w:id="0" w:name="_GoBack"/>
      <w:bookmarkEnd w:id="0"/>
    </w:p>
    <w:p w:rsidR="00A54736" w:rsidRDefault="00A54736" w:rsidP="00533548">
      <w:pPr>
        <w:spacing w:before="240" w:after="120"/>
        <w:rPr>
          <w:b/>
          <w:bCs/>
          <w:i/>
          <w:iCs/>
          <w:sz w:val="18"/>
          <w:szCs w:val="18"/>
        </w:rPr>
      </w:pPr>
      <w:r>
        <w:rPr>
          <w:b/>
          <w:bCs/>
          <w:i/>
          <w:iCs/>
          <w:sz w:val="18"/>
          <w:szCs w:val="18"/>
        </w:rPr>
        <w:lastRenderedPageBreak/>
        <w:t>DIDATTICA DEL CORSO</w:t>
      </w:r>
    </w:p>
    <w:p w:rsidR="00A54736" w:rsidRPr="00533548" w:rsidRDefault="00A54736" w:rsidP="00533548">
      <w:pPr>
        <w:pStyle w:val="Testo2"/>
      </w:pPr>
      <w:r w:rsidRPr="00533548">
        <w:t xml:space="preserve">Lezioni frontali tenute dal docente. Sarà ricorrente la lettura (e la traduzione) di fonti antiche. Al corso regolare si potranno affiancare lezioni straordinarie di colleghi invitati dal docente. Sarà facoltativa la partecipazione degli studenti a eventi scientifici organizzati dalla Cattedra. </w:t>
      </w:r>
    </w:p>
    <w:p w:rsidR="00A54736" w:rsidRDefault="00A54736" w:rsidP="00533548">
      <w:pPr>
        <w:spacing w:before="240" w:after="120"/>
        <w:rPr>
          <w:b/>
          <w:bCs/>
          <w:i/>
          <w:iCs/>
          <w:sz w:val="18"/>
          <w:szCs w:val="18"/>
        </w:rPr>
      </w:pPr>
      <w:r>
        <w:rPr>
          <w:b/>
          <w:bCs/>
          <w:i/>
          <w:iCs/>
          <w:sz w:val="18"/>
          <w:szCs w:val="18"/>
        </w:rPr>
        <w:t>METODO E CRITERI DI VALUTAZIONE</w:t>
      </w:r>
    </w:p>
    <w:p w:rsidR="00A54736" w:rsidRDefault="00A54736" w:rsidP="00533548">
      <w:pPr>
        <w:pStyle w:val="Testo2"/>
      </w:pPr>
      <w:r w:rsidRPr="00BB264E">
        <w:t>Esame orale sulla ba</w:t>
      </w:r>
      <w:r>
        <w:t xml:space="preserve">se del programma sopra indicato </w:t>
      </w:r>
      <w:r w:rsidRPr="00BB264E">
        <w:t xml:space="preserve">con la differenza concernente </w:t>
      </w:r>
      <w:r w:rsidRPr="00BB264E">
        <w:rPr>
          <w:i/>
          <w:iCs/>
        </w:rPr>
        <w:t>frequentanti</w:t>
      </w:r>
      <w:r w:rsidRPr="00BB264E">
        <w:t xml:space="preserve"> e </w:t>
      </w:r>
      <w:r w:rsidRPr="00BB264E">
        <w:rPr>
          <w:i/>
          <w:iCs/>
        </w:rPr>
        <w:t>non frequentanti</w:t>
      </w:r>
      <w:r>
        <w:t>.</w:t>
      </w:r>
    </w:p>
    <w:p w:rsidR="00A54736" w:rsidRPr="000D6030" w:rsidRDefault="00A54736" w:rsidP="00533548">
      <w:pPr>
        <w:pStyle w:val="Testo2"/>
      </w:pPr>
      <w:r w:rsidRPr="000D6030">
        <w:t>Il metodo di valutazione – ferma la differenza dei materiali di studio per</w:t>
      </w:r>
      <w:r w:rsidRPr="000D6030">
        <w:rPr>
          <w:i/>
          <w:iCs/>
        </w:rPr>
        <w:t xml:space="preserve"> frequentanti</w:t>
      </w:r>
      <w:r w:rsidRPr="000D6030">
        <w:t xml:space="preserve"> e </w:t>
      </w:r>
      <w:r w:rsidRPr="000D6030">
        <w:rPr>
          <w:i/>
          <w:iCs/>
        </w:rPr>
        <w:t>non frequentanti</w:t>
      </w:r>
      <w:r w:rsidRPr="000D6030">
        <w:t xml:space="preserve"> – consisterà nel verificare le conoscenze fondamentali</w:t>
      </w:r>
      <w:r>
        <w:t xml:space="preserve"> della disciplina</w:t>
      </w:r>
      <w:r w:rsidRPr="000D6030">
        <w:t>, la pertinenza delle risposte, la strutturazione coerente ed argomentata del discorso. Per gli studenti frequentanti si terrà conto anche dell’impegno dimostrato durante il corso e della partecipazione attiva a</w:t>
      </w:r>
      <w:r>
        <w:t>lle lezioni straordinarie e agli</w:t>
      </w:r>
      <w:r w:rsidRPr="000D6030">
        <w:t xml:space="preserve"> incontri scientifici organizzati dalla Cattedra.  </w:t>
      </w:r>
    </w:p>
    <w:p w:rsidR="00A54736" w:rsidRDefault="00A54736" w:rsidP="00533548">
      <w:pPr>
        <w:spacing w:before="240" w:after="120" w:line="240" w:lineRule="exact"/>
        <w:rPr>
          <w:b/>
          <w:bCs/>
          <w:i/>
          <w:iCs/>
          <w:sz w:val="18"/>
          <w:szCs w:val="18"/>
        </w:rPr>
      </w:pPr>
      <w:r>
        <w:rPr>
          <w:b/>
          <w:bCs/>
          <w:i/>
          <w:iCs/>
          <w:sz w:val="18"/>
          <w:szCs w:val="18"/>
        </w:rPr>
        <w:t>AVVERTENZE E PREREQUISITI</w:t>
      </w:r>
    </w:p>
    <w:p w:rsidR="00A54736" w:rsidRDefault="00A54736" w:rsidP="00533548">
      <w:pPr>
        <w:pStyle w:val="Testo2"/>
      </w:pPr>
      <w:r>
        <w:t xml:space="preserve">In relazione all’andamento del corso si fa riserva di fornire agli </w:t>
      </w:r>
      <w:r w:rsidRPr="0026318C">
        <w:rPr>
          <w:i/>
          <w:iCs/>
        </w:rPr>
        <w:t>studenti frequentanti</w:t>
      </w:r>
      <w:r>
        <w:t xml:space="preserve"> indicazioni di fonti e di bibliografia di approfondimento.</w:t>
      </w:r>
    </w:p>
    <w:p w:rsidR="00A54736" w:rsidRPr="00533548" w:rsidRDefault="00A54736" w:rsidP="00533548">
      <w:pPr>
        <w:rPr>
          <w:rFonts w:ascii="Times" w:hAnsi="Times" w:cs="Times"/>
          <w:sz w:val="18"/>
          <w:szCs w:val="18"/>
        </w:rPr>
      </w:pPr>
      <w:r w:rsidRPr="00D1405A">
        <w:rPr>
          <w:rFonts w:ascii="Times" w:hAnsi="Times" w:cs="Times"/>
          <w:spacing w:val="-5"/>
          <w:sz w:val="18"/>
          <w:szCs w:val="18"/>
        </w:rPr>
        <w:t xml:space="preserve">I prerequisiti – sia per i </w:t>
      </w:r>
      <w:r w:rsidRPr="00D1405A">
        <w:rPr>
          <w:rFonts w:ascii="Times" w:hAnsi="Times" w:cs="Times"/>
          <w:i/>
          <w:iCs/>
          <w:spacing w:val="-5"/>
          <w:sz w:val="18"/>
          <w:szCs w:val="18"/>
        </w:rPr>
        <w:t>frequentati</w:t>
      </w:r>
      <w:r w:rsidRPr="00D1405A">
        <w:rPr>
          <w:rFonts w:ascii="Times" w:hAnsi="Times" w:cs="Times"/>
          <w:spacing w:val="-5"/>
          <w:sz w:val="18"/>
          <w:szCs w:val="18"/>
        </w:rPr>
        <w:t xml:space="preserve"> sia per i </w:t>
      </w:r>
      <w:r w:rsidRPr="00D1405A">
        <w:rPr>
          <w:rFonts w:ascii="Times" w:hAnsi="Times" w:cs="Times"/>
          <w:i/>
          <w:iCs/>
          <w:spacing w:val="-5"/>
          <w:sz w:val="18"/>
          <w:szCs w:val="18"/>
        </w:rPr>
        <w:t>non frequentati</w:t>
      </w:r>
      <w:r w:rsidRPr="00D1405A">
        <w:rPr>
          <w:rFonts w:ascii="Times" w:hAnsi="Times" w:cs="Times"/>
          <w:spacing w:val="-5"/>
          <w:sz w:val="18"/>
          <w:szCs w:val="18"/>
        </w:rPr>
        <w:t xml:space="preserve"> – consistono in una conoscenza di base del periodo storico oggetto del corso e nell’interesse verso gli istituti di diritto pubblico.</w:t>
      </w:r>
      <w:r w:rsidRPr="00D1405A">
        <w:rPr>
          <w:rFonts w:ascii="Times" w:hAnsi="Times" w:cs="Times"/>
          <w:noProof/>
          <w:sz w:val="18"/>
          <w:szCs w:val="18"/>
        </w:rPr>
        <w:t xml:space="preserve"> La conoscenza della lingua latina, certo utile, non è indispensabile per seguire le lezioni e per raggiungere i risultati di apprendimento attesi. </w:t>
      </w:r>
    </w:p>
    <w:p w:rsidR="00A54736" w:rsidRPr="009F35B9" w:rsidRDefault="00A54736" w:rsidP="00533548">
      <w:pPr>
        <w:pStyle w:val="Testo2"/>
        <w:spacing w:before="120"/>
        <w:rPr>
          <w:u w:val="single"/>
        </w:rPr>
      </w:pPr>
      <w:r w:rsidRPr="00446BBA">
        <w:rPr>
          <w:i/>
          <w:iCs/>
        </w:rPr>
        <w:t>Orario e luogo di ricevimento</w:t>
      </w:r>
    </w:p>
    <w:p w:rsidR="00A54736" w:rsidRPr="002C2BCD" w:rsidRDefault="00A54736" w:rsidP="004500E8">
      <w:pPr>
        <w:pStyle w:val="Testo2"/>
      </w:pPr>
      <w:r>
        <w:t xml:space="preserve">Il Prof. Ernesto Bianchi riceve gli studenti, durante il periodo delle lezioni, il giovedì dalle ore 14.45 alle 16, </w:t>
      </w:r>
      <w:r w:rsidRPr="00BF3DD7">
        <w:t xml:space="preserve">salvo diversa indicazione riportata nella pagina web del docente (consultabile al sito </w:t>
      </w:r>
      <w:hyperlink r:id="rId10" w:history="1">
        <w:r w:rsidRPr="00AB48EA">
          <w:rPr>
            <w:rStyle w:val="Collegamentoipertestuale"/>
            <w:i/>
            <w:iCs/>
          </w:rPr>
          <w:t>http://docenti.unicatt.it/</w:t>
        </w:r>
      </w:hyperlink>
      <w:r>
        <w:t>) e sull’avviso affisso all’albo presso l’Istituto Giuridico. Nel caso perdurino periodi di emergenza sanitaria</w:t>
      </w:r>
      <w:r w:rsidRPr="00B1644D">
        <w:t>, il ricevimento avverrà sulla pi</w:t>
      </w:r>
      <w:r>
        <w:t>attaforma Teams, previo contatto e-mail con il docente scrivendo</w:t>
      </w:r>
      <w:r w:rsidRPr="00B1644D">
        <w:t xml:space="preserve"> a</w:t>
      </w:r>
      <w:r>
        <w:t xml:space="preserve">ll’indirizzo: </w:t>
      </w:r>
      <w:hyperlink r:id="rId11" w:history="1">
        <w:r w:rsidRPr="00AB48EA">
          <w:rPr>
            <w:rStyle w:val="Collegamentoipertestuale"/>
            <w:i/>
            <w:iCs/>
          </w:rPr>
          <w:t>ernesto.bianchi@unicatt.it</w:t>
        </w:r>
      </w:hyperlink>
      <w:r>
        <w:t xml:space="preserve"> </w:t>
      </w:r>
    </w:p>
    <w:p w:rsidR="00A54736" w:rsidRPr="00533548" w:rsidRDefault="00A54736" w:rsidP="00533548">
      <w:pPr>
        <w:pStyle w:val="Testo2"/>
      </w:pPr>
    </w:p>
    <w:sectPr w:rsidR="00A54736" w:rsidRPr="0053354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B5" w:rsidRDefault="00DB51B5" w:rsidP="00DB51B5">
      <w:pPr>
        <w:spacing w:line="240" w:lineRule="auto"/>
      </w:pPr>
      <w:r>
        <w:separator/>
      </w:r>
    </w:p>
  </w:endnote>
  <w:endnote w:type="continuationSeparator" w:id="0">
    <w:p w:rsidR="00DB51B5" w:rsidRDefault="00DB51B5" w:rsidP="00DB5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B5" w:rsidRDefault="00DB51B5" w:rsidP="00DB51B5">
      <w:pPr>
        <w:spacing w:line="240" w:lineRule="auto"/>
      </w:pPr>
      <w:r>
        <w:separator/>
      </w:r>
    </w:p>
  </w:footnote>
  <w:footnote w:type="continuationSeparator" w:id="0">
    <w:p w:rsidR="00DB51B5" w:rsidRDefault="00DB51B5" w:rsidP="00DB51B5">
      <w:pPr>
        <w:spacing w:line="240" w:lineRule="auto"/>
      </w:pPr>
      <w:r>
        <w:continuationSeparator/>
      </w:r>
    </w:p>
  </w:footnote>
  <w:footnote w:id="1">
    <w:p w:rsidR="00DB51B5" w:rsidRDefault="00DB51B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9B7"/>
    <w:rsid w:val="000D6030"/>
    <w:rsid w:val="00187B99"/>
    <w:rsid w:val="001A0798"/>
    <w:rsid w:val="002014DD"/>
    <w:rsid w:val="0026318C"/>
    <w:rsid w:val="00266D72"/>
    <w:rsid w:val="002A0CB2"/>
    <w:rsid w:val="002C2BCD"/>
    <w:rsid w:val="002D5E17"/>
    <w:rsid w:val="003523D5"/>
    <w:rsid w:val="00446BBA"/>
    <w:rsid w:val="004500E8"/>
    <w:rsid w:val="004D1217"/>
    <w:rsid w:val="004D6008"/>
    <w:rsid w:val="004F59B7"/>
    <w:rsid w:val="00533548"/>
    <w:rsid w:val="00554C1C"/>
    <w:rsid w:val="00640794"/>
    <w:rsid w:val="006D116C"/>
    <w:rsid w:val="006F1772"/>
    <w:rsid w:val="00787B46"/>
    <w:rsid w:val="00805EA3"/>
    <w:rsid w:val="008141B5"/>
    <w:rsid w:val="008942E7"/>
    <w:rsid w:val="008A1204"/>
    <w:rsid w:val="00900CCA"/>
    <w:rsid w:val="00924B77"/>
    <w:rsid w:val="00940DA2"/>
    <w:rsid w:val="00962073"/>
    <w:rsid w:val="009E055C"/>
    <w:rsid w:val="009E56B4"/>
    <w:rsid w:val="009F35B9"/>
    <w:rsid w:val="00A54736"/>
    <w:rsid w:val="00A74F6F"/>
    <w:rsid w:val="00AB48EA"/>
    <w:rsid w:val="00AD7557"/>
    <w:rsid w:val="00B04C83"/>
    <w:rsid w:val="00B10BF0"/>
    <w:rsid w:val="00B1644D"/>
    <w:rsid w:val="00B50C5D"/>
    <w:rsid w:val="00B51253"/>
    <w:rsid w:val="00B525CC"/>
    <w:rsid w:val="00B9331F"/>
    <w:rsid w:val="00BB264E"/>
    <w:rsid w:val="00BF3DD7"/>
    <w:rsid w:val="00CA7379"/>
    <w:rsid w:val="00D1405A"/>
    <w:rsid w:val="00D404F2"/>
    <w:rsid w:val="00D65445"/>
    <w:rsid w:val="00DA4026"/>
    <w:rsid w:val="00DB51B5"/>
    <w:rsid w:val="00E607E6"/>
    <w:rsid w:val="00F027DE"/>
    <w:rsid w:val="00F95358"/>
    <w:rsid w:val="00FD6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 w:val="20"/>
      <w:szCs w:val="20"/>
    </w:rPr>
  </w:style>
  <w:style w:type="paragraph" w:styleId="Titolo1">
    <w:name w:val="heading 1"/>
    <w:basedOn w:val="Normale"/>
    <w:next w:val="Titolo2"/>
    <w:link w:val="Titolo1Carattere"/>
    <w:uiPriority w:val="99"/>
    <w:qFormat/>
    <w:rsid w:val="00E607E6"/>
    <w:pPr>
      <w:tabs>
        <w:tab w:val="clear" w:pos="284"/>
      </w:tabs>
      <w:spacing w:before="480" w:line="240" w:lineRule="exact"/>
      <w:ind w:left="284" w:hanging="284"/>
      <w:outlineLvl w:val="0"/>
    </w:pPr>
    <w:rPr>
      <w:rFonts w:ascii="Times" w:hAnsi="Times" w:cs="Times"/>
      <w:b/>
      <w:bCs/>
      <w:noProof/>
    </w:rPr>
  </w:style>
  <w:style w:type="paragraph" w:styleId="Titolo2">
    <w:name w:val="heading 2"/>
    <w:basedOn w:val="Normale"/>
    <w:next w:val="Titolo3"/>
    <w:link w:val="Titolo2Carattere"/>
    <w:uiPriority w:val="99"/>
    <w:qFormat/>
    <w:rsid w:val="00E607E6"/>
    <w:pPr>
      <w:tabs>
        <w:tab w:val="clear" w:pos="284"/>
      </w:tabs>
      <w:spacing w:line="240" w:lineRule="exact"/>
      <w:outlineLvl w:val="1"/>
    </w:pPr>
    <w:rPr>
      <w:rFonts w:ascii="Times" w:hAnsi="Times" w:cs="Times"/>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sid w:val="00787B46"/>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uiPriority w:val="99"/>
    <w:rsid w:val="00900CCA"/>
    <w:pPr>
      <w:tabs>
        <w:tab w:val="left" w:pos="284"/>
      </w:tabs>
      <w:spacing w:line="220" w:lineRule="exact"/>
      <w:ind w:firstLine="284"/>
      <w:jc w:val="both"/>
    </w:pPr>
    <w:rPr>
      <w:rFonts w:ascii="Times" w:hAnsi="Times" w:cs="Times"/>
      <w:noProof/>
      <w:sz w:val="18"/>
      <w:szCs w:val="18"/>
    </w:rPr>
  </w:style>
  <w:style w:type="character" w:styleId="Collegamentoipertestuale">
    <w:name w:val="Hyperlink"/>
    <w:basedOn w:val="Carpredefinitoparagrafo"/>
    <w:uiPriority w:val="99"/>
    <w:locked/>
    <w:rsid w:val="004500E8"/>
    <w:rPr>
      <w:color w:val="0563C1"/>
      <w:u w:val="single"/>
    </w:rPr>
  </w:style>
  <w:style w:type="paragraph" w:styleId="Testonotaapidipagina">
    <w:name w:val="footnote text"/>
    <w:basedOn w:val="Normale"/>
    <w:link w:val="TestonotaapidipaginaCarattere"/>
    <w:uiPriority w:val="99"/>
    <w:semiHidden/>
    <w:unhideWhenUsed/>
    <w:locked/>
    <w:rsid w:val="00DB51B5"/>
  </w:style>
  <w:style w:type="character" w:customStyle="1" w:styleId="TestonotaapidipaginaCarattere">
    <w:name w:val="Testo nota a piè di pagina Carattere"/>
    <w:basedOn w:val="Carpredefinitoparagrafo"/>
    <w:link w:val="Testonotaapidipagina"/>
    <w:uiPriority w:val="99"/>
    <w:semiHidden/>
    <w:rsid w:val="00DB51B5"/>
    <w:rPr>
      <w:sz w:val="20"/>
      <w:szCs w:val="20"/>
    </w:rPr>
  </w:style>
  <w:style w:type="character" w:styleId="Rimandonotaapidipagina">
    <w:name w:val="footnote reference"/>
    <w:basedOn w:val="Carpredefinitoparagrafo"/>
    <w:uiPriority w:val="99"/>
    <w:semiHidden/>
    <w:unhideWhenUsed/>
    <w:locked/>
    <w:rsid w:val="00DB5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ganzani-lauretta/formazione-e-vicende-di-unopera-illustre-9788834875605-173828.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esto.bianchi@unicatt.it" TargetMode="External"/><Relationship Id="rId5" Type="http://schemas.openxmlformats.org/officeDocument/2006/relationships/webSettings" Target="webSettings.xml"/><Relationship Id="rId10" Type="http://schemas.openxmlformats.org/officeDocument/2006/relationships/hyperlink" Target="http://docenti.unicatt.it/" TargetMode="External"/><Relationship Id="rId4" Type="http://schemas.openxmlformats.org/officeDocument/2006/relationships/settings" Target="settings.xml"/><Relationship Id="rId9" Type="http://schemas.openxmlformats.org/officeDocument/2006/relationships/hyperlink" Target="https://librerie.unicatt.it/scheda-libro/vincenzo-arangio-ruiz/storia-del-diritto-romano-9788824305112-2430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9C54-AD0B-445C-A07C-AD90E31D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3660</Characters>
  <Application>Microsoft Office Word</Application>
  <DocSecurity>0</DocSecurity>
  <Lines>30</Lines>
  <Paragraphs>8</Paragraphs>
  <ScaleCrop>false</ScaleCrop>
  <Company>U.C.S.C. MILANO</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diritto romano</dc:title>
  <dc:subject/>
  <dc:creator>s-ufgu-01-mi</dc:creator>
  <cp:keywords/>
  <dc:description/>
  <cp:lastModifiedBy>Rolli Andrea</cp:lastModifiedBy>
  <cp:revision>6</cp:revision>
  <cp:lastPrinted>2003-03-27T10:42:00Z</cp:lastPrinted>
  <dcterms:created xsi:type="dcterms:W3CDTF">2020-05-04T12:19:00Z</dcterms:created>
  <dcterms:modified xsi:type="dcterms:W3CDTF">2021-06-17T08:26:00Z</dcterms:modified>
</cp:coreProperties>
</file>