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3EC0" w14:textId="77777777" w:rsidR="002D5E17" w:rsidRDefault="00635628" w:rsidP="002D5E17">
      <w:pPr>
        <w:pStyle w:val="Titolo1"/>
      </w:pPr>
      <w:r>
        <w:t>Diritto civile II</w:t>
      </w:r>
    </w:p>
    <w:p w14:paraId="3F243852" w14:textId="63A6EC63" w:rsidR="00635628" w:rsidRDefault="00635628" w:rsidP="00635628">
      <w:pPr>
        <w:pStyle w:val="Titolo2"/>
      </w:pPr>
      <w:r>
        <w:t xml:space="preserve">Prof. </w:t>
      </w:r>
      <w:r w:rsidR="00131FD7">
        <w:t>Andrea Nicolussi</w:t>
      </w:r>
    </w:p>
    <w:p w14:paraId="6B918345" w14:textId="77777777" w:rsidR="00635628" w:rsidRPr="00066AB4" w:rsidRDefault="00635628" w:rsidP="00635628">
      <w:pPr>
        <w:spacing w:before="240" w:after="120" w:line="240" w:lineRule="exact"/>
        <w:rPr>
          <w:b/>
        </w:rPr>
      </w:pPr>
      <w:r w:rsidRPr="00066AB4">
        <w:rPr>
          <w:b/>
          <w:i/>
        </w:rPr>
        <w:t>OBIETTIVO DEL CORSO E RISULTATI DI APPRENDIMENTO ATTESI</w:t>
      </w:r>
    </w:p>
    <w:p w14:paraId="30DAF493" w14:textId="77777777" w:rsidR="00086D3B" w:rsidRPr="00F11C3E" w:rsidRDefault="00086D3B" w:rsidP="00086D3B">
      <w:pPr>
        <w:rPr>
          <w:szCs w:val="18"/>
        </w:rPr>
      </w:pPr>
      <w:r w:rsidRPr="00F11C3E">
        <w:rPr>
          <w:szCs w:val="18"/>
        </w:rPr>
        <w:t>L’insegnamento di diritto civile si propone di approfondire monograficamente istituti del diritto privato generale mediante l’applicazione della tecnica giuridica, alla quale lo studente viene particolarmente sollecitato. Il programma si svolge nella cornice del diritto delle obbligazioni e verte sulle obbligazioni extracontrattuali: le promesse unilaterali, la gestione d’affari altrui, la ripetizione dell’indebito, l’arricchimento senza giusta causa e la responsabilità extracontrattuale come figura distinta dalla responsabilità da inadempimento di obblighi (c.d. responsabilità contrattuale). All’analisi dogmatica delle categorie si unisce l’attenzione alla giurisprudenza, in una continua verifica della fase attuale della disciplina. Il corso intende proporre allo studente esempi maturi di ragionamento giuridico, al fine di una elaborazione autonoma dei percorsi argomentativi. Al termine dell’insegnamento, il risultato atteso è una conoscenza approfondita del diritto delle obbligazioni e una maggiore competenza nell’uso del metodo giuridico che dovrà risultare sensibile anche nei riguardi dei nessi tra i diversi registri argomentativi</w:t>
      </w:r>
      <w:r w:rsidRPr="00F11C3E">
        <w:rPr>
          <w:b/>
          <w:i/>
          <w:szCs w:val="18"/>
        </w:rPr>
        <w:t>.</w:t>
      </w:r>
      <w:r w:rsidRPr="00F11C3E">
        <w:rPr>
          <w:szCs w:val="18"/>
        </w:rPr>
        <w:t xml:space="preserve"> Lo studente sarà, pertanto, in grado di meglio cogliere i problemi sottesi ai mutamenti in atto e le implicazioni di ordine sistematico, acquisendo o rafforzando la propria capacità di esercizio del senso critico in ambito giuridico, ossia in generale una maggiore autonomia di giudizio. Inoltre, tale prospettiva incentrata sull’esigenza di approfondimento metodologico e di sviluppo della ricerca dei nessi logico-culturali porterà a un rafforzamento dell’abilità di apprendimento. L’arricchimento del lessico e degli strumenti argomentativi, accompagnati da esemplificazioni, rafforzeranno le abilità comunicative dello studente</w:t>
      </w:r>
    </w:p>
    <w:p w14:paraId="5AE57ECC" w14:textId="77777777" w:rsidR="00086D3B" w:rsidRPr="00F11C3E" w:rsidRDefault="00086D3B" w:rsidP="00086D3B">
      <w:pPr>
        <w:rPr>
          <w:szCs w:val="18"/>
        </w:rPr>
      </w:pPr>
      <w:r w:rsidRPr="00F11C3E">
        <w:rPr>
          <w:szCs w:val="18"/>
        </w:rPr>
        <w:t>Infine, dal punto di vista professionale, la maturazione di possesso del discorso giuridico dovrebbe mettere lo studente in grado di impostare e risolvere autonomamente le questioni che si pongono al giurista nelle applicazioni tipiche della sua attività: quella forense, sia nell’assistenza alle parti in giudizio, sia nel giudicare le controversie, quella di vera e propria progettazione giuridica, di cui è tipica espressione la professione notarile così come quella di assistenza delle parti nella formazione dei contratti.</w:t>
      </w:r>
    </w:p>
    <w:p w14:paraId="5AB5626D" w14:textId="77777777" w:rsidR="00635628" w:rsidRPr="00066AB4" w:rsidRDefault="00635628" w:rsidP="00635628">
      <w:pPr>
        <w:spacing w:before="240" w:after="120" w:line="240" w:lineRule="exact"/>
        <w:rPr>
          <w:b/>
        </w:rPr>
      </w:pPr>
      <w:r w:rsidRPr="00066AB4">
        <w:rPr>
          <w:b/>
          <w:i/>
        </w:rPr>
        <w:t>PROGRAMMA DEL CORSO</w:t>
      </w:r>
    </w:p>
    <w:p w14:paraId="67AE3F8C" w14:textId="77777777" w:rsidR="00086D3B" w:rsidRPr="00086D3B" w:rsidRDefault="00086D3B" w:rsidP="00086D3B">
      <w:pPr>
        <w:keepNext/>
        <w:spacing w:line="240" w:lineRule="exact"/>
      </w:pPr>
      <w:r w:rsidRPr="00086D3B">
        <w:lastRenderedPageBreak/>
        <w:t>Le fonti dell’obbligazione diverse dal contratto</w:t>
      </w:r>
    </w:p>
    <w:p w14:paraId="22C8DD04" w14:textId="645C59E6" w:rsidR="00086D3B" w:rsidRPr="00086D3B" w:rsidRDefault="00086D3B" w:rsidP="00086D3B">
      <w:pPr>
        <w:keepNext/>
        <w:spacing w:line="240" w:lineRule="exact"/>
      </w:pPr>
      <w:r w:rsidRPr="00086D3B">
        <w:t>Promesse unilaterali e principio del contratto</w:t>
      </w:r>
      <w:r w:rsidR="006F3A5D">
        <w:t>.</w:t>
      </w:r>
      <w:r w:rsidRPr="00086D3B">
        <w:t xml:space="preserve"> Senso del principio di tipicità delle promesse unilaterali in relazione al principio di causalità e al principio di affidamento</w:t>
      </w:r>
    </w:p>
    <w:p w14:paraId="0ED39F4C" w14:textId="77777777" w:rsidR="00086D3B" w:rsidRPr="00086D3B" w:rsidRDefault="00086D3B" w:rsidP="00086D3B">
      <w:pPr>
        <w:keepNext/>
        <w:spacing w:line="240" w:lineRule="exact"/>
      </w:pPr>
      <w:r w:rsidRPr="00086D3B">
        <w:t>Promessa al pubblico e sua spiegazione in sen</w:t>
      </w:r>
      <w:bookmarkStart w:id="0" w:name="_GoBack"/>
      <w:bookmarkEnd w:id="0"/>
      <w:r w:rsidRPr="00086D3B">
        <w:t>so funzionale</w:t>
      </w:r>
    </w:p>
    <w:p w14:paraId="6792ECF7" w14:textId="77777777" w:rsidR="00086D3B" w:rsidRPr="00086D3B" w:rsidRDefault="00086D3B" w:rsidP="00086D3B">
      <w:pPr>
        <w:keepNext/>
        <w:spacing w:line="240" w:lineRule="exact"/>
      </w:pPr>
      <w:r w:rsidRPr="00086D3B">
        <w:t>Promessa al pubblico e offerta al pubblico</w:t>
      </w:r>
    </w:p>
    <w:p w14:paraId="0A99AF14" w14:textId="77777777" w:rsidR="00086D3B" w:rsidRPr="00086D3B" w:rsidRDefault="00086D3B" w:rsidP="00086D3B">
      <w:pPr>
        <w:keepNext/>
        <w:spacing w:line="240" w:lineRule="exact"/>
      </w:pPr>
      <w:r w:rsidRPr="00086D3B">
        <w:t xml:space="preserve">Esempi di promesse unilaterali con alcune ipotesi </w:t>
      </w:r>
      <w:r w:rsidRPr="00086D3B">
        <w:rPr>
          <w:i/>
          <w:iCs/>
        </w:rPr>
        <w:t xml:space="preserve">prima </w:t>
      </w:r>
      <w:proofErr w:type="spellStart"/>
      <w:r w:rsidRPr="00086D3B">
        <w:rPr>
          <w:i/>
          <w:iCs/>
        </w:rPr>
        <w:t>facie</w:t>
      </w:r>
      <w:proofErr w:type="spellEnd"/>
      <w:r w:rsidRPr="00086D3B">
        <w:t xml:space="preserve"> di incerta collocazione</w:t>
      </w:r>
    </w:p>
    <w:p w14:paraId="1DADA121" w14:textId="17CE3792" w:rsidR="00086D3B" w:rsidRPr="00086D3B" w:rsidRDefault="00086D3B" w:rsidP="00086D3B">
      <w:pPr>
        <w:keepNext/>
        <w:spacing w:line="240" w:lineRule="exact"/>
      </w:pPr>
      <w:r w:rsidRPr="00086D3B">
        <w:t>Promessa di pagamento o ricognizione di un debito tra funzione sostanziale e funzione probatorio-processuale</w:t>
      </w:r>
    </w:p>
    <w:p w14:paraId="290B35A6" w14:textId="77777777" w:rsidR="00086D3B" w:rsidRPr="00086D3B" w:rsidRDefault="00086D3B" w:rsidP="00086D3B">
      <w:pPr>
        <w:keepNext/>
        <w:spacing w:line="240" w:lineRule="exact"/>
      </w:pPr>
      <w:r w:rsidRPr="00086D3B">
        <w:t>Garanzie personali e responsabilità patrimoniale</w:t>
      </w:r>
    </w:p>
    <w:p w14:paraId="2E15DFCC" w14:textId="77777777" w:rsidR="00086D3B" w:rsidRPr="00086D3B" w:rsidRDefault="00086D3B" w:rsidP="00086D3B">
      <w:pPr>
        <w:keepNext/>
        <w:spacing w:line="240" w:lineRule="exact"/>
      </w:pPr>
      <w:r w:rsidRPr="00086D3B">
        <w:t>Titoli di credito</w:t>
      </w:r>
    </w:p>
    <w:p w14:paraId="18375B52" w14:textId="77777777" w:rsidR="00086D3B" w:rsidRPr="00086D3B" w:rsidRDefault="00086D3B" w:rsidP="00086D3B">
      <w:pPr>
        <w:keepNext/>
        <w:spacing w:line="240" w:lineRule="exact"/>
      </w:pPr>
      <w:r w:rsidRPr="00086D3B">
        <w:t>Linee per una distinzione generale tra tutela restitutoria, indennizzo e tutela risarcitoria.</w:t>
      </w:r>
    </w:p>
    <w:p w14:paraId="1EB713D6" w14:textId="77777777" w:rsidR="00086D3B" w:rsidRPr="00086D3B" w:rsidRDefault="00086D3B" w:rsidP="00086D3B">
      <w:pPr>
        <w:keepNext/>
        <w:spacing w:line="240" w:lineRule="exact"/>
      </w:pPr>
      <w:r w:rsidRPr="00086D3B">
        <w:t>Tutele giudiziali e contrattuali per l’inadempimento e risarcimento in forma specifica</w:t>
      </w:r>
    </w:p>
    <w:p w14:paraId="7080B14F" w14:textId="77777777" w:rsidR="00086D3B" w:rsidRPr="00086D3B" w:rsidRDefault="00086D3B" w:rsidP="00086D3B">
      <w:pPr>
        <w:keepNext/>
        <w:spacing w:line="240" w:lineRule="exact"/>
      </w:pPr>
      <w:r w:rsidRPr="00086D3B">
        <w:t>Gestione di affari altrui</w:t>
      </w:r>
    </w:p>
    <w:p w14:paraId="141F2939" w14:textId="77777777" w:rsidR="00086D3B" w:rsidRPr="00086D3B" w:rsidRDefault="00086D3B" w:rsidP="00086D3B">
      <w:pPr>
        <w:keepNext/>
        <w:spacing w:line="240" w:lineRule="exact"/>
      </w:pPr>
      <w:r w:rsidRPr="00086D3B">
        <w:t>Pagamento dell’indebito</w:t>
      </w:r>
    </w:p>
    <w:p w14:paraId="0A7D3D90" w14:textId="77777777" w:rsidR="00086D3B" w:rsidRPr="00086D3B" w:rsidRDefault="00086D3B" w:rsidP="00086D3B">
      <w:pPr>
        <w:keepNext/>
        <w:spacing w:line="240" w:lineRule="exact"/>
      </w:pPr>
      <w:r w:rsidRPr="00086D3B">
        <w:t>Arricchimento senza giusta causa</w:t>
      </w:r>
    </w:p>
    <w:p w14:paraId="01AF663A" w14:textId="77777777" w:rsidR="00086D3B" w:rsidRPr="00086D3B" w:rsidRDefault="00086D3B" w:rsidP="00086D3B">
      <w:pPr>
        <w:keepNext/>
        <w:spacing w:line="240" w:lineRule="exact"/>
      </w:pPr>
      <w:r w:rsidRPr="00086D3B">
        <w:t>Responsabilità extracontrattuale</w:t>
      </w:r>
    </w:p>
    <w:p w14:paraId="40F1794A" w14:textId="77777777" w:rsidR="00086D3B" w:rsidRPr="00086D3B" w:rsidRDefault="00086D3B" w:rsidP="00086D3B">
      <w:pPr>
        <w:keepNext/>
        <w:spacing w:line="240" w:lineRule="exact"/>
      </w:pPr>
      <w:r w:rsidRPr="00086D3B">
        <w:t>Responsabilità medica fra responsabilità contrattuale ed extracontrattuale</w:t>
      </w:r>
    </w:p>
    <w:p w14:paraId="59C4F02B" w14:textId="46D1BD90" w:rsidR="00635628" w:rsidRPr="00066AB4" w:rsidRDefault="00635628" w:rsidP="00635628">
      <w:pPr>
        <w:keepNext/>
        <w:spacing w:before="240" w:after="120" w:line="240" w:lineRule="exact"/>
        <w:rPr>
          <w:b/>
        </w:rPr>
      </w:pPr>
      <w:r w:rsidRPr="00066AB4">
        <w:rPr>
          <w:b/>
          <w:i/>
        </w:rPr>
        <w:t>BIBLIOGRAFIA</w:t>
      </w:r>
      <w:r w:rsidR="00157BA3">
        <w:rPr>
          <w:rStyle w:val="Rimandonotaapidipagina"/>
          <w:b/>
          <w:i/>
        </w:rPr>
        <w:footnoteReference w:id="1"/>
      </w:r>
    </w:p>
    <w:p w14:paraId="45B526A7" w14:textId="6D0AA887" w:rsidR="00157BA3" w:rsidRDefault="00086D3B" w:rsidP="00417356">
      <w:pPr>
        <w:pStyle w:val="Testo1"/>
      </w:pPr>
      <w:r w:rsidRPr="00086D3B">
        <w:rPr>
          <w:smallCaps/>
        </w:rPr>
        <w:t xml:space="preserve">A. Nicolussi, </w:t>
      </w:r>
      <w:r w:rsidRPr="00086D3B">
        <w:rPr>
          <w:i/>
          <w:iCs/>
          <w:smallCaps/>
        </w:rPr>
        <w:t>Le obbligazioni</w:t>
      </w:r>
      <w:r w:rsidRPr="00086D3B">
        <w:rPr>
          <w:smallCaps/>
        </w:rPr>
        <w:t>, W</w:t>
      </w:r>
      <w:r w:rsidR="006F3A5D">
        <w:rPr>
          <w:smallCaps/>
        </w:rPr>
        <w:t>o</w:t>
      </w:r>
      <w:r w:rsidRPr="00086D3B">
        <w:rPr>
          <w:smallCaps/>
        </w:rPr>
        <w:t xml:space="preserve">lters Kluwer Cedam, Padova, 2021: capitoli I, II (§§ 4, 5, 5.1, 5.2, 5.3 e 6), V (Sezione II), VII (§ 10), VIII, IX e X </w:t>
      </w:r>
      <w:hyperlink r:id="rId8" w:history="1">
        <w:r w:rsidR="00157BA3" w:rsidRPr="00157BA3">
          <w:rPr>
            <w:rStyle w:val="Collegamentoipertestuale"/>
            <w:rFonts w:ascii="Times New Roman" w:hAnsi="Times New Roman"/>
            <w:i/>
            <w:sz w:val="16"/>
            <w:szCs w:val="16"/>
          </w:rPr>
          <w:t>Acquista da VP</w:t>
        </w:r>
      </w:hyperlink>
      <w:r w:rsidR="00157BA3" w:rsidRPr="002B2F53">
        <w:t xml:space="preserve"> </w:t>
      </w:r>
    </w:p>
    <w:p w14:paraId="69488F3C" w14:textId="77777777" w:rsidR="00086D3B" w:rsidRPr="00086D3B" w:rsidRDefault="00086D3B" w:rsidP="00086D3B">
      <w:pPr>
        <w:keepNext/>
        <w:spacing w:line="240" w:lineRule="exact"/>
        <w:ind w:left="284" w:hanging="284"/>
        <w:rPr>
          <w:sz w:val="18"/>
          <w:szCs w:val="18"/>
        </w:rPr>
      </w:pPr>
      <w:r w:rsidRPr="00086D3B">
        <w:rPr>
          <w:i/>
          <w:iCs/>
          <w:sz w:val="18"/>
          <w:szCs w:val="18"/>
        </w:rPr>
        <w:t>Materiali sulla</w:t>
      </w:r>
      <w:r w:rsidRPr="00086D3B">
        <w:rPr>
          <w:sz w:val="18"/>
          <w:szCs w:val="18"/>
        </w:rPr>
        <w:t xml:space="preserve"> </w:t>
      </w:r>
      <w:r w:rsidRPr="00086D3B">
        <w:rPr>
          <w:i/>
          <w:sz w:val="18"/>
          <w:szCs w:val="18"/>
        </w:rPr>
        <w:t>responsabilità civile</w:t>
      </w:r>
      <w:r w:rsidRPr="00086D3B">
        <w:rPr>
          <w:sz w:val="18"/>
          <w:szCs w:val="18"/>
        </w:rPr>
        <w:t xml:space="preserve"> disponibili sulla pagina </w:t>
      </w:r>
      <w:proofErr w:type="spellStart"/>
      <w:r w:rsidRPr="00086D3B">
        <w:rPr>
          <w:sz w:val="18"/>
          <w:szCs w:val="18"/>
        </w:rPr>
        <w:t>Blackboard</w:t>
      </w:r>
      <w:proofErr w:type="spellEnd"/>
      <w:r w:rsidRPr="00086D3B">
        <w:rPr>
          <w:sz w:val="18"/>
          <w:szCs w:val="18"/>
        </w:rPr>
        <w:t xml:space="preserve"> del corso di diritto civile II.</w:t>
      </w:r>
    </w:p>
    <w:p w14:paraId="3E4438DA" w14:textId="77777777" w:rsidR="00635628" w:rsidRPr="00066AB4" w:rsidRDefault="00635628" w:rsidP="00635628">
      <w:pPr>
        <w:spacing w:before="240" w:after="120" w:line="220" w:lineRule="exact"/>
        <w:rPr>
          <w:b/>
          <w:i/>
        </w:rPr>
      </w:pPr>
      <w:r w:rsidRPr="00066AB4">
        <w:rPr>
          <w:b/>
          <w:i/>
        </w:rPr>
        <w:t>DIDATTICA DEL CORSO</w:t>
      </w:r>
    </w:p>
    <w:p w14:paraId="5A45D28B" w14:textId="77777777" w:rsidR="00635628" w:rsidRPr="00635628" w:rsidRDefault="00635628" w:rsidP="00635628">
      <w:pPr>
        <w:pStyle w:val="Testo2"/>
      </w:pPr>
      <w:r w:rsidRPr="00635628">
        <w:t>Il corso è incentrato sulle lezioni del docente, integrate da un ciclo seminariale.</w:t>
      </w:r>
    </w:p>
    <w:p w14:paraId="43AB060C" w14:textId="77777777" w:rsidR="00635628" w:rsidRPr="00066AB4" w:rsidRDefault="00635628" w:rsidP="00635628">
      <w:pPr>
        <w:spacing w:before="240" w:after="120" w:line="220" w:lineRule="exact"/>
        <w:rPr>
          <w:b/>
          <w:i/>
        </w:rPr>
      </w:pPr>
      <w:r>
        <w:rPr>
          <w:b/>
          <w:i/>
        </w:rPr>
        <w:t>METODO</w:t>
      </w:r>
      <w:r w:rsidRPr="00066AB4">
        <w:rPr>
          <w:b/>
          <w:i/>
        </w:rPr>
        <w:t xml:space="preserve"> E CRITERI DI VALUTAZIONE</w:t>
      </w:r>
    </w:p>
    <w:p w14:paraId="522AD87E" w14:textId="52512C91" w:rsidR="00131FD7" w:rsidRPr="00131FD7" w:rsidRDefault="00131FD7" w:rsidP="00131FD7">
      <w:pPr>
        <w:pStyle w:val="Testo2"/>
      </w:pPr>
      <w:r w:rsidRPr="00131FD7">
        <w:t>L’esame si svolge in forma orale. La prova, che sarà articolata in domande su ciascuna delle due parti del corso, verrà valutata in trentesimi, tenendo conto dei contenuti delle risposte, della capacità espositiva e argomentativa, inclusa naturalmente l’appropriatezza della terminologia, nonché dell’attitudine critica del candidato.</w:t>
      </w:r>
    </w:p>
    <w:p w14:paraId="50C04512" w14:textId="77777777" w:rsidR="00131FD7" w:rsidRPr="00131FD7" w:rsidRDefault="00131FD7" w:rsidP="00131FD7">
      <w:pPr>
        <w:pStyle w:val="Testo2"/>
      </w:pPr>
      <w:r w:rsidRPr="00131FD7">
        <w:lastRenderedPageBreak/>
        <w:t>Voti di eccellenza saranno attribuiti agli studenti che dimostrino: a) una conoscenza puntuale di tutti i temi oggetto di domanda e la capacità di coglierne i nessi sistematici con altre parti del programma e i nodi problematici; b) capacità di impiegare in modo adeguato gli strumenti dell’argomentazione giuridica appropriati in relazione alle specifiche questioni; c) padronanza del linguaggio di settore e capacità espositive.</w:t>
      </w:r>
    </w:p>
    <w:p w14:paraId="7B26A192" w14:textId="77777777" w:rsidR="00131FD7" w:rsidRPr="00131FD7" w:rsidRDefault="00131FD7" w:rsidP="00131FD7">
      <w:pPr>
        <w:pStyle w:val="Testo2"/>
      </w:pPr>
      <w:r w:rsidRPr="00131FD7">
        <w:t>Valutazioni discrete saranno attribuite a studenti che dimostrino una conoscenza senza lacune, per quanto sintetica, di tutte le parti del programma e una autonomia di esposizione sebbene non particolarmente articolata e/o con un linguaggio specifico non sempre appropriato.</w:t>
      </w:r>
    </w:p>
    <w:p w14:paraId="22E5B630" w14:textId="77777777" w:rsidR="00131FD7" w:rsidRPr="006864B1" w:rsidRDefault="00131FD7" w:rsidP="00131FD7">
      <w:pPr>
        <w:pStyle w:val="Testo2"/>
      </w:pPr>
      <w:r w:rsidRPr="006864B1">
        <w:t>Valutazioni di mera sufficienza saranno attribuite a studenti che dimostrino la conoscenza essenziale della materia oggetto di esame con eventuali lacune su parti limitate non fondamentali del programma. Ai fini della sufficienza dovrà comunque essere dimostrato un minimo di capacità di cogliere le relazioni fondamentali esistenti tra le diverse parti della materia.</w:t>
      </w:r>
    </w:p>
    <w:p w14:paraId="1313D540" w14:textId="369BAD4B" w:rsidR="00635628" w:rsidRPr="00066AB4" w:rsidRDefault="00131FD7" w:rsidP="00131FD7">
      <w:pPr>
        <w:pStyle w:val="Testo2"/>
      </w:pPr>
      <w:r w:rsidRPr="006864B1">
        <w:t>Una valutazione insufficiente sarà la conseguenza di lacune relative a parti fondamentali del programma o dell’impiego di un linguaggio del tutto inappropriato o della mancanza di capacità di un minimo di collegamento</w:t>
      </w:r>
      <w:r>
        <w:t>.</w:t>
      </w:r>
    </w:p>
    <w:p w14:paraId="7AE8B863" w14:textId="77777777" w:rsidR="00635628" w:rsidRPr="00066AB4" w:rsidRDefault="00635628" w:rsidP="00635628">
      <w:pPr>
        <w:spacing w:before="240" w:after="120"/>
        <w:rPr>
          <w:b/>
          <w:i/>
        </w:rPr>
      </w:pPr>
      <w:r w:rsidRPr="00066AB4">
        <w:rPr>
          <w:b/>
          <w:i/>
        </w:rPr>
        <w:t>AVVERTENZE E PREREQUISITI</w:t>
      </w:r>
    </w:p>
    <w:p w14:paraId="4CF69A63" w14:textId="45C7F7ED" w:rsidR="00635628" w:rsidRDefault="00635628" w:rsidP="00635628">
      <w:pPr>
        <w:pStyle w:val="Testo2"/>
      </w:pPr>
      <w:r w:rsidRPr="00066AB4">
        <w:t>Il corso presuppone le conoscenze fondamentali del diritto privato.</w:t>
      </w:r>
    </w:p>
    <w:p w14:paraId="2B8D9B83" w14:textId="77777777" w:rsidR="000A2E66" w:rsidRDefault="000A2E66" w:rsidP="000A2E66">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sectPr w:rsidR="000A2E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32A4" w14:textId="77777777" w:rsidR="00157BA3" w:rsidRDefault="00157BA3" w:rsidP="00157BA3">
      <w:r>
        <w:separator/>
      </w:r>
    </w:p>
  </w:endnote>
  <w:endnote w:type="continuationSeparator" w:id="0">
    <w:p w14:paraId="0DF40D81" w14:textId="77777777" w:rsidR="00157BA3" w:rsidRDefault="00157BA3" w:rsidP="001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9BF2" w14:textId="77777777" w:rsidR="00157BA3" w:rsidRDefault="00157BA3" w:rsidP="00157BA3">
      <w:r>
        <w:separator/>
      </w:r>
    </w:p>
  </w:footnote>
  <w:footnote w:type="continuationSeparator" w:id="0">
    <w:p w14:paraId="1AB00558" w14:textId="77777777" w:rsidR="00157BA3" w:rsidRDefault="00157BA3" w:rsidP="00157BA3">
      <w:r>
        <w:continuationSeparator/>
      </w:r>
    </w:p>
  </w:footnote>
  <w:footnote w:id="1">
    <w:p w14:paraId="776213C7" w14:textId="731A74D2" w:rsidR="00157BA3" w:rsidRDefault="00157BA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F21AB"/>
    <w:multiLevelType w:val="hybridMultilevel"/>
    <w:tmpl w:val="A060FD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831"/>
    <w:rsid w:val="00026DB5"/>
    <w:rsid w:val="00086D3B"/>
    <w:rsid w:val="000A2E66"/>
    <w:rsid w:val="00131FD7"/>
    <w:rsid w:val="00157BA3"/>
    <w:rsid w:val="00187B99"/>
    <w:rsid w:val="002014DD"/>
    <w:rsid w:val="002B2F53"/>
    <w:rsid w:val="002D5E17"/>
    <w:rsid w:val="002E169A"/>
    <w:rsid w:val="00417356"/>
    <w:rsid w:val="004D1217"/>
    <w:rsid w:val="004D6008"/>
    <w:rsid w:val="00565AE0"/>
    <w:rsid w:val="005C6919"/>
    <w:rsid w:val="006141EA"/>
    <w:rsid w:val="00635628"/>
    <w:rsid w:val="00640794"/>
    <w:rsid w:val="00673831"/>
    <w:rsid w:val="006F1772"/>
    <w:rsid w:val="006F3A5D"/>
    <w:rsid w:val="008942E7"/>
    <w:rsid w:val="008A1204"/>
    <w:rsid w:val="00900CCA"/>
    <w:rsid w:val="00924B77"/>
    <w:rsid w:val="00940DA2"/>
    <w:rsid w:val="009E055C"/>
    <w:rsid w:val="00A74F6F"/>
    <w:rsid w:val="00AD7557"/>
    <w:rsid w:val="00B50C5D"/>
    <w:rsid w:val="00B51253"/>
    <w:rsid w:val="00B525CC"/>
    <w:rsid w:val="00D404F2"/>
    <w:rsid w:val="00E607E6"/>
    <w:rsid w:val="00F84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4EECD"/>
  <w15:docId w15:val="{0E5BD153-89D7-4B33-9F3B-4EAE228F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3562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E169A"/>
    <w:pPr>
      <w:ind w:left="720"/>
      <w:contextualSpacing/>
    </w:pPr>
  </w:style>
  <w:style w:type="paragraph" w:styleId="Testonotaapidipagina">
    <w:name w:val="footnote text"/>
    <w:basedOn w:val="Normale"/>
    <w:link w:val="TestonotaapidipaginaCarattere"/>
    <w:rsid w:val="00157BA3"/>
  </w:style>
  <w:style w:type="character" w:customStyle="1" w:styleId="TestonotaapidipaginaCarattere">
    <w:name w:val="Testo nota a piè di pagina Carattere"/>
    <w:basedOn w:val="Carpredefinitoparagrafo"/>
    <w:link w:val="Testonotaapidipagina"/>
    <w:rsid w:val="00157BA3"/>
  </w:style>
  <w:style w:type="character" w:styleId="Rimandonotaapidipagina">
    <w:name w:val="footnote reference"/>
    <w:basedOn w:val="Carpredefinitoparagrafo"/>
    <w:rsid w:val="00157BA3"/>
    <w:rPr>
      <w:vertAlign w:val="superscript"/>
    </w:rPr>
  </w:style>
  <w:style w:type="character" w:styleId="Collegamentoipertestuale">
    <w:name w:val="Hyperlink"/>
    <w:basedOn w:val="Carpredefinitoparagrafo"/>
    <w:rsid w:val="00157B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5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nicolussi/le-obbligazioni-9788813373733-69479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0BD3-2D99-407F-936A-458DA9D3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881</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6</cp:revision>
  <cp:lastPrinted>2003-03-27T10:42:00Z</cp:lastPrinted>
  <dcterms:created xsi:type="dcterms:W3CDTF">2021-05-24T10:34:00Z</dcterms:created>
  <dcterms:modified xsi:type="dcterms:W3CDTF">2021-07-26T09:25:00Z</dcterms:modified>
</cp:coreProperties>
</file>