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EC" w:rsidRPr="002D3B09" w:rsidRDefault="00FD46EC" w:rsidP="00FD46EC">
      <w:pPr>
        <w:pStyle w:val="Titolo1"/>
      </w:pPr>
      <w:r w:rsidRPr="002D3B09">
        <w:t>Politica economica</w:t>
      </w:r>
    </w:p>
    <w:p w:rsidR="00FD46EC" w:rsidRPr="002D3B09" w:rsidRDefault="00FD46EC" w:rsidP="00FD46EC">
      <w:pPr>
        <w:pStyle w:val="Titolo2"/>
      </w:pPr>
      <w:r w:rsidRPr="002D3B09">
        <w:t xml:space="preserve">Prof.Marco </w:t>
      </w:r>
      <w:r w:rsidR="00260849" w:rsidRPr="002D3B09">
        <w:t>Vivarelli</w:t>
      </w:r>
    </w:p>
    <w:p w:rsidR="002D5E17" w:rsidRPr="002D3B09" w:rsidRDefault="00FD46EC" w:rsidP="00FD46EC">
      <w:pPr>
        <w:spacing w:before="240" w:after="120" w:line="240" w:lineRule="exact"/>
        <w:rPr>
          <w:b/>
          <w:sz w:val="18"/>
        </w:rPr>
      </w:pPr>
      <w:r w:rsidRPr="002D3B09">
        <w:rPr>
          <w:b/>
          <w:i/>
          <w:sz w:val="18"/>
        </w:rPr>
        <w:t>OBIETTIVO DEL CORSO E RISULTATI DI APPRENDIMENTO ATTESI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Conoscenza e comprensione. 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Il corso ha l’obiettivo di completare la preparazione economica di base degli studenti, approfondendo le implicazioni di politica economica insite nelle configurazioni e nei comportamenti di mercati soggetti a imperfezioni e continuamente sollecitati dalle dinamiche del cambiamento tecnologico. L’insegnamento si propone di fornire agli studenti le conoscenze di base e specifiche dell’Economia del Benessere e della Politica Economica, articolata nelle sue varie componenti (politica fiscale, monetaria, industriale, del lavoro, dell’innovazione).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Capacità di applicare conoscenza e comprensione. 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Con riferimento all’applicazione delle conoscenze e contenuti appresi, al termine del corso lo studente sarà in grado di analizzare le scelte di politica economica e di collocarle e interpretarle nel più generale contesto economico ed istituzionale.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Autonomia di giudizio.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Si intende inoltre fornire un quadro di riferimento sistemico, che possa costituire elemento di consapevolezza e autonomia di giudizio per operare nella realtà delle imprese e delle istituzioni, sia nazionali che internazionali.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Abilità comunicative. 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Al termine del corso lo studente sarà in grado di applicare e comunicare le conoscenze sopra descritte nel delineare schemi di riferimento per politiche efficaci nel risolvere i fallimenti di mercato.</w:t>
      </w:r>
    </w:p>
    <w:p w:rsidR="00F75E9A" w:rsidRPr="002D3B09" w:rsidRDefault="00F75E9A" w:rsidP="00F75E9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 xml:space="preserve">Capacità di apprendimento. </w:t>
      </w:r>
    </w:p>
    <w:p w:rsidR="00F75E9A" w:rsidRPr="002D3B09" w:rsidRDefault="00F75E9A" w:rsidP="00F75E9A">
      <w:pPr>
        <w:spacing w:line="240" w:lineRule="exact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Per raggiungere questi obiettivi il percorso di apprendimento comprenderà aspetti cognitivi (relativi a conoscenze e competenze specifiche del corso) e aspetti metacognitivi volti a sviluppare capacità trasversali quali l’autonomia di giudizio, lo spirito critico e la capacità comunicativa.</w:t>
      </w:r>
    </w:p>
    <w:p w:rsidR="00FD46EC" w:rsidRPr="002D3B09" w:rsidRDefault="00FD46EC" w:rsidP="00F75E9A">
      <w:pPr>
        <w:spacing w:before="240" w:after="120" w:line="240" w:lineRule="exact"/>
        <w:rPr>
          <w:b/>
          <w:sz w:val="18"/>
        </w:rPr>
      </w:pPr>
      <w:r w:rsidRPr="002D3B09">
        <w:rPr>
          <w:b/>
          <w:i/>
          <w:sz w:val="18"/>
        </w:rPr>
        <w:t>PROGRAMMA DEL CORSO</w:t>
      </w:r>
    </w:p>
    <w:p w:rsidR="00FD46EC" w:rsidRPr="002D3B09" w:rsidRDefault="00FD46EC" w:rsidP="00260849">
      <w:pPr>
        <w:spacing w:line="240" w:lineRule="exact"/>
        <w:ind w:left="284" w:hanging="284"/>
      </w:pPr>
      <w:r w:rsidRPr="002D3B09">
        <w:t>1.</w:t>
      </w:r>
      <w:r w:rsidRPr="002D3B09">
        <w:tab/>
        <w:t>I fondamenti del mercato e il ruolo della politica economica in un contesto walrasiano.</w:t>
      </w:r>
    </w:p>
    <w:p w:rsidR="00FD46EC" w:rsidRPr="002D3B09" w:rsidRDefault="00FD46EC" w:rsidP="00260849">
      <w:pPr>
        <w:spacing w:line="240" w:lineRule="exact"/>
      </w:pPr>
      <w:r w:rsidRPr="002D3B09">
        <w:t>2.</w:t>
      </w:r>
      <w:r w:rsidRPr="002D3B09">
        <w:tab/>
        <w:t>Economia del benessere e trade-off tra efficienza ed equità.</w:t>
      </w:r>
    </w:p>
    <w:p w:rsidR="00FD46EC" w:rsidRPr="002D3B09" w:rsidRDefault="00FD46EC" w:rsidP="00260849">
      <w:pPr>
        <w:spacing w:line="240" w:lineRule="exact"/>
      </w:pPr>
      <w:r w:rsidRPr="002D3B09">
        <w:t>3.</w:t>
      </w:r>
      <w:r w:rsidRPr="002D3B09">
        <w:tab/>
        <w:t>Scelta sociale e modelli di voting.</w:t>
      </w:r>
    </w:p>
    <w:p w:rsidR="00FD46EC" w:rsidRPr="002D3B09" w:rsidRDefault="00FD46EC" w:rsidP="00260849">
      <w:pPr>
        <w:spacing w:line="240" w:lineRule="exact"/>
      </w:pPr>
      <w:r w:rsidRPr="002D3B09">
        <w:t>4.</w:t>
      </w:r>
      <w:r w:rsidRPr="002D3B09">
        <w:tab/>
        <w:t>I fallimenti del mercato: esternalità e beni pubblici.</w:t>
      </w:r>
    </w:p>
    <w:p w:rsidR="00FD46EC" w:rsidRPr="002D3B09" w:rsidRDefault="00FD46EC" w:rsidP="00260849">
      <w:pPr>
        <w:spacing w:line="240" w:lineRule="exact"/>
      </w:pPr>
      <w:r w:rsidRPr="002D3B09">
        <w:lastRenderedPageBreak/>
        <w:t>5.</w:t>
      </w:r>
      <w:r w:rsidRPr="002D3B09">
        <w:tab/>
        <w:t>Sub-ottimalità paretiana, spazi per la politica economica, fallimenti del governo.</w:t>
      </w:r>
    </w:p>
    <w:p w:rsidR="00FD46EC" w:rsidRPr="002D3B09" w:rsidRDefault="00FD46EC" w:rsidP="00260849">
      <w:pPr>
        <w:spacing w:line="240" w:lineRule="exact"/>
      </w:pPr>
      <w:r w:rsidRPr="002D3B09">
        <w:t>6.</w:t>
      </w:r>
      <w:r w:rsidRPr="002D3B09">
        <w:tab/>
        <w:t>Forme di mercato e benessere; le politiche per la concorrenza.</w:t>
      </w:r>
    </w:p>
    <w:p w:rsidR="00FD46EC" w:rsidRPr="002D3B09" w:rsidRDefault="00FD46EC" w:rsidP="00260849">
      <w:pPr>
        <w:spacing w:line="240" w:lineRule="exact"/>
      </w:pPr>
      <w:r w:rsidRPr="002D3B09">
        <w:t>7.</w:t>
      </w:r>
      <w:r w:rsidRPr="002D3B09">
        <w:tab/>
        <w:t>Politica fiscale e debito pubblico.</w:t>
      </w:r>
    </w:p>
    <w:p w:rsidR="00FD46EC" w:rsidRPr="002D3B09" w:rsidRDefault="00FD46EC" w:rsidP="00260849">
      <w:pPr>
        <w:spacing w:line="240" w:lineRule="exact"/>
        <w:ind w:left="284" w:hanging="284"/>
      </w:pPr>
      <w:r w:rsidRPr="002D3B09">
        <w:t>8.</w:t>
      </w:r>
      <w:r w:rsidRPr="002D3B09">
        <w:tab/>
        <w:t>Politica monetaria e inflazione.</w:t>
      </w:r>
    </w:p>
    <w:p w:rsidR="00FD46EC" w:rsidRPr="002D3B09" w:rsidRDefault="00FD46EC" w:rsidP="00260849">
      <w:pPr>
        <w:spacing w:line="240" w:lineRule="exact"/>
      </w:pPr>
      <w:r w:rsidRPr="002D3B09">
        <w:t>9.</w:t>
      </w:r>
      <w:r w:rsidRPr="002D3B09">
        <w:tab/>
        <w:t>Innovazione, produttività e crescita.</w:t>
      </w:r>
    </w:p>
    <w:p w:rsidR="00FD46EC" w:rsidRPr="002D3B09" w:rsidRDefault="00FD46EC" w:rsidP="00260849">
      <w:pPr>
        <w:spacing w:line="240" w:lineRule="exact"/>
      </w:pPr>
      <w:r w:rsidRPr="002D3B09">
        <w:t>10. Lineamenti di economia e politica per l’innovazione.</w:t>
      </w:r>
    </w:p>
    <w:p w:rsidR="00FD46EC" w:rsidRPr="002D3B09" w:rsidRDefault="00FD46EC" w:rsidP="00260849">
      <w:pPr>
        <w:spacing w:before="240" w:after="120" w:line="240" w:lineRule="exact"/>
        <w:rPr>
          <w:b/>
          <w:i/>
          <w:sz w:val="18"/>
        </w:rPr>
      </w:pPr>
      <w:r w:rsidRPr="002D3B09">
        <w:rPr>
          <w:b/>
          <w:i/>
          <w:sz w:val="18"/>
        </w:rPr>
        <w:t>BIBLIOGRAFIA</w:t>
      </w:r>
      <w:r w:rsidR="00FD3A49">
        <w:rPr>
          <w:rStyle w:val="Rimandonotaapidipagina"/>
          <w:b/>
          <w:i/>
          <w:sz w:val="18"/>
        </w:rPr>
        <w:footnoteReference w:id="1"/>
      </w:r>
    </w:p>
    <w:p w:rsidR="00FD46EC" w:rsidRPr="002D3B09" w:rsidRDefault="00FD46EC" w:rsidP="00260849">
      <w:pPr>
        <w:pStyle w:val="Testo2"/>
        <w:ind w:firstLine="0"/>
        <w:rPr>
          <w:rFonts w:eastAsiaTheme="minorHAnsi"/>
          <w:lang w:eastAsia="en-US"/>
        </w:rPr>
      </w:pPr>
      <w:r w:rsidRPr="002D3B09">
        <w:rPr>
          <w:rFonts w:eastAsiaTheme="minorHAnsi"/>
          <w:lang w:eastAsia="en-US"/>
        </w:rPr>
        <w:t>Il testo di riferimento</w:t>
      </w:r>
    </w:p>
    <w:p w:rsidR="00FD46EC" w:rsidRPr="002D3B09" w:rsidRDefault="00FD46EC" w:rsidP="00260849">
      <w:pPr>
        <w:pStyle w:val="Testo2"/>
        <w:ind w:firstLine="0"/>
        <w:rPr>
          <w:spacing w:val="-5"/>
        </w:rPr>
      </w:pPr>
      <w:r w:rsidRPr="002D3B09">
        <w:rPr>
          <w:smallCaps/>
          <w:spacing w:val="-5"/>
          <w:sz w:val="16"/>
        </w:rPr>
        <w:t>L. Campiglio,</w:t>
      </w:r>
      <w:r w:rsidRPr="002D3B09">
        <w:rPr>
          <w:i/>
          <w:spacing w:val="-5"/>
        </w:rPr>
        <w:t xml:space="preserve"> Mercato,</w:t>
      </w:r>
      <w:r w:rsidRPr="002D3B09">
        <w:rPr>
          <w:spacing w:val="-5"/>
        </w:rPr>
        <w:t xml:space="preserve"> </w:t>
      </w:r>
      <w:r w:rsidRPr="002D3B09">
        <w:rPr>
          <w:i/>
          <w:spacing w:val="-5"/>
        </w:rPr>
        <w:t>Prezzi e Politica Economica</w:t>
      </w:r>
      <w:r w:rsidRPr="002D3B09">
        <w:rPr>
          <w:spacing w:val="-5"/>
        </w:rPr>
        <w:t>, Il Mulino, Bologna, 1999.</w:t>
      </w:r>
      <w:r w:rsidR="00FD3A49">
        <w:rPr>
          <w:spacing w:val="-5"/>
        </w:rPr>
        <w:t xml:space="preserve"> </w:t>
      </w:r>
      <w:hyperlink r:id="rId9" w:history="1">
        <w:r w:rsidR="00FD3A49" w:rsidRPr="00FD3A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D46EC" w:rsidRPr="002D3B09" w:rsidRDefault="00FD46EC" w:rsidP="00260849">
      <w:pPr>
        <w:pStyle w:val="Testo1"/>
        <w:rPr>
          <w:rFonts w:eastAsiaTheme="minorHAnsi"/>
        </w:rPr>
      </w:pPr>
      <w:r w:rsidRPr="002D3B09">
        <w:rPr>
          <w:rFonts w:eastAsiaTheme="minorHAnsi"/>
        </w:rPr>
        <w:t>Ulteriore materiale di studio (dispense, slides, capitoli, articoli, statistiche) verrà reso disponibile on-line sulla piattaforma Blackboard dedicata.</w:t>
      </w:r>
    </w:p>
    <w:p w:rsidR="00FD46EC" w:rsidRPr="002D3B09" w:rsidRDefault="00FD46EC" w:rsidP="00FD46EC">
      <w:pPr>
        <w:spacing w:before="240" w:after="120"/>
        <w:rPr>
          <w:rFonts w:eastAsiaTheme="minorHAnsi"/>
          <w:b/>
          <w:i/>
          <w:sz w:val="18"/>
        </w:rPr>
      </w:pPr>
      <w:r w:rsidRPr="002D3B09">
        <w:rPr>
          <w:rFonts w:eastAsiaTheme="minorHAnsi"/>
          <w:b/>
          <w:i/>
          <w:sz w:val="18"/>
        </w:rPr>
        <w:t>DIDATTICA DEL CORSO</w:t>
      </w:r>
    </w:p>
    <w:p w:rsidR="00FD46EC" w:rsidRPr="002D3B09" w:rsidRDefault="00FD46EC" w:rsidP="00FD46EC">
      <w:pPr>
        <w:pStyle w:val="Testo2"/>
      </w:pPr>
      <w:r w:rsidRPr="002D3B09">
        <w:t>Lezioni frontali.</w:t>
      </w:r>
    </w:p>
    <w:p w:rsidR="00FD46EC" w:rsidRPr="002D3B09" w:rsidRDefault="00FD46EC" w:rsidP="00FD46EC">
      <w:pPr>
        <w:spacing w:before="240" w:after="120"/>
        <w:rPr>
          <w:b/>
          <w:i/>
          <w:sz w:val="18"/>
        </w:rPr>
      </w:pPr>
      <w:r w:rsidRPr="002D3B09">
        <w:rPr>
          <w:b/>
          <w:i/>
          <w:sz w:val="18"/>
        </w:rPr>
        <w:t>METODO E CRITERI DI VALUTAZIONE</w:t>
      </w:r>
    </w:p>
    <w:p w:rsidR="0050007B" w:rsidRPr="002D3B09" w:rsidRDefault="00FD46EC" w:rsidP="00D92BC9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 xml:space="preserve">I risultati dell’apprendimento sono accertati tramite una prova finale scritta. Tale prova consiste in domande a risposta aperta che vertono su argomenti di teoria, sui modelli e sulle dimostrazioni discussi in aula e sulle implicazioni di politica economica. Le risposte sono valutate tenendo conto sia delle </w:t>
      </w:r>
      <w:r w:rsidR="00D048AE" w:rsidRPr="002D3B09">
        <w:rPr>
          <w:rFonts w:eastAsiaTheme="minorHAnsi"/>
        </w:rPr>
        <w:t xml:space="preserve">competenze </w:t>
      </w:r>
      <w:r w:rsidRPr="002D3B09">
        <w:rPr>
          <w:rFonts w:eastAsiaTheme="minorHAnsi"/>
        </w:rPr>
        <w:t>analitiche espresse, sia della capacità di ragionamento, sia della struttura argomentativa. Tutte le domande sono valutate analiticamente in trentesimi, e il voto finale corrisponde alla media - laddove necessario approssimata per eccesso - delle valutazioni ottenute sui singoli quesiti.</w:t>
      </w:r>
      <w:r w:rsidR="00D048AE" w:rsidRPr="002D3B09">
        <w:rPr>
          <w:rFonts w:eastAsiaTheme="minorHAnsi"/>
        </w:rPr>
        <w:t xml:space="preserve"> </w:t>
      </w:r>
    </w:p>
    <w:p w:rsidR="00FD46EC" w:rsidRPr="002D3B09" w:rsidRDefault="00D048AE" w:rsidP="00D92BC9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>Non sono previste prove intermedie.</w:t>
      </w:r>
    </w:p>
    <w:p w:rsidR="00FD46EC" w:rsidRPr="002D3B09" w:rsidRDefault="00FD46EC" w:rsidP="00D92BC9">
      <w:pPr>
        <w:spacing w:before="240" w:after="120" w:line="240" w:lineRule="exact"/>
        <w:ind w:firstLine="284"/>
        <w:rPr>
          <w:b/>
          <w:i/>
          <w:sz w:val="18"/>
        </w:rPr>
      </w:pPr>
      <w:r w:rsidRPr="002D3B09">
        <w:rPr>
          <w:b/>
          <w:i/>
          <w:sz w:val="18"/>
        </w:rPr>
        <w:t>AVVERTENZE E PREREQUISITI</w:t>
      </w:r>
    </w:p>
    <w:p w:rsidR="00FD46EC" w:rsidRPr="002D3B09" w:rsidRDefault="00FD46EC" w:rsidP="00D92BC9">
      <w:pPr>
        <w:pStyle w:val="Testo2"/>
        <w:rPr>
          <w:rFonts w:eastAsiaTheme="minorHAnsi"/>
        </w:rPr>
      </w:pPr>
      <w:r w:rsidRPr="002D3B09">
        <w:rPr>
          <w:rFonts w:eastAsiaTheme="minorHAnsi"/>
        </w:rPr>
        <w:t>Sono richieste le conoscenze di base di microeconomia e di macroeconomia.</w:t>
      </w:r>
    </w:p>
    <w:p w:rsidR="00D92BC9" w:rsidRPr="00FD46EC" w:rsidRDefault="00D92BC9" w:rsidP="00D92BC9">
      <w:pPr>
        <w:pStyle w:val="Testo2"/>
        <w:ind w:firstLine="0"/>
        <w:rPr>
          <w:rFonts w:eastAsiaTheme="minorHAnsi"/>
        </w:rPr>
      </w:pPr>
      <w:r w:rsidRPr="002D3B09">
        <w:rPr>
          <w:rFonts w:eastAsiaTheme="minorHAnsi"/>
        </w:rPr>
        <w:tab/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D92BC9" w:rsidRPr="00FD46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49" w:rsidRDefault="00FD3A49" w:rsidP="00FD3A49">
      <w:pPr>
        <w:spacing w:line="240" w:lineRule="auto"/>
      </w:pPr>
      <w:r>
        <w:separator/>
      </w:r>
    </w:p>
  </w:endnote>
  <w:endnote w:type="continuationSeparator" w:id="0">
    <w:p w:rsidR="00FD3A49" w:rsidRDefault="00FD3A49" w:rsidP="00FD3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49" w:rsidRDefault="00FD3A49" w:rsidP="00FD3A49">
      <w:pPr>
        <w:spacing w:line="240" w:lineRule="auto"/>
      </w:pPr>
      <w:r>
        <w:separator/>
      </w:r>
    </w:p>
  </w:footnote>
  <w:footnote w:type="continuationSeparator" w:id="0">
    <w:p w:rsidR="00FD3A49" w:rsidRDefault="00FD3A49" w:rsidP="00FD3A49">
      <w:pPr>
        <w:spacing w:line="240" w:lineRule="auto"/>
      </w:pPr>
      <w:r>
        <w:continuationSeparator/>
      </w:r>
    </w:p>
  </w:footnote>
  <w:footnote w:id="1">
    <w:p w:rsidR="00FD3A49" w:rsidRDefault="00FD3A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691"/>
    <w:multiLevelType w:val="hybridMultilevel"/>
    <w:tmpl w:val="EE2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9D"/>
    <w:rsid w:val="0015478C"/>
    <w:rsid w:val="00187B99"/>
    <w:rsid w:val="001E48F4"/>
    <w:rsid w:val="002014DD"/>
    <w:rsid w:val="00210715"/>
    <w:rsid w:val="00260849"/>
    <w:rsid w:val="002D3B09"/>
    <w:rsid w:val="002D5E17"/>
    <w:rsid w:val="004D1217"/>
    <w:rsid w:val="004D6008"/>
    <w:rsid w:val="0050007B"/>
    <w:rsid w:val="00640794"/>
    <w:rsid w:val="006F1772"/>
    <w:rsid w:val="00787B9D"/>
    <w:rsid w:val="007D0EFA"/>
    <w:rsid w:val="007D78B5"/>
    <w:rsid w:val="008942E7"/>
    <w:rsid w:val="008A1204"/>
    <w:rsid w:val="008D7A96"/>
    <w:rsid w:val="00900CCA"/>
    <w:rsid w:val="00924B77"/>
    <w:rsid w:val="00940DA2"/>
    <w:rsid w:val="009C38F5"/>
    <w:rsid w:val="009E055C"/>
    <w:rsid w:val="00A74F6F"/>
    <w:rsid w:val="00AD7557"/>
    <w:rsid w:val="00B50C5D"/>
    <w:rsid w:val="00B51253"/>
    <w:rsid w:val="00B525CC"/>
    <w:rsid w:val="00D048AE"/>
    <w:rsid w:val="00D404F2"/>
    <w:rsid w:val="00D74102"/>
    <w:rsid w:val="00D92BC9"/>
    <w:rsid w:val="00DF4C1D"/>
    <w:rsid w:val="00E607E6"/>
    <w:rsid w:val="00E9388D"/>
    <w:rsid w:val="00F75E9A"/>
    <w:rsid w:val="00FA7C51"/>
    <w:rsid w:val="00FD3A49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5E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D3A4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3A49"/>
  </w:style>
  <w:style w:type="character" w:styleId="Rimandonotaapidipagina">
    <w:name w:val="footnote reference"/>
    <w:basedOn w:val="Carpredefinitoparagrafo"/>
    <w:semiHidden/>
    <w:unhideWhenUsed/>
    <w:rsid w:val="00FD3A49"/>
    <w:rPr>
      <w:vertAlign w:val="superscript"/>
    </w:rPr>
  </w:style>
  <w:style w:type="character" w:styleId="Collegamentoipertestuale">
    <w:name w:val="Hyperlink"/>
    <w:basedOn w:val="Carpredefinitoparagrafo"/>
    <w:unhideWhenUsed/>
    <w:rsid w:val="00FD3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5E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D3A4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3A49"/>
  </w:style>
  <w:style w:type="character" w:styleId="Rimandonotaapidipagina">
    <w:name w:val="footnote reference"/>
    <w:basedOn w:val="Carpredefinitoparagrafo"/>
    <w:semiHidden/>
    <w:unhideWhenUsed/>
    <w:rsid w:val="00FD3A49"/>
    <w:rPr>
      <w:vertAlign w:val="superscript"/>
    </w:rPr>
  </w:style>
  <w:style w:type="character" w:styleId="Collegamentoipertestuale">
    <w:name w:val="Hyperlink"/>
    <w:basedOn w:val="Carpredefinitoparagrafo"/>
    <w:unhideWhenUsed/>
    <w:rsid w:val="00FD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campiglio/mercato-prezzi-e-politica-economica-9788815060181-2082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5662-AB25-4C6A-9468-775DEB3A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513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2020-06-15T10:22:00Z</dcterms:created>
  <dcterms:modified xsi:type="dcterms:W3CDTF">2021-07-01T07:28:00Z</dcterms:modified>
</cp:coreProperties>
</file>