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62" w:rsidRPr="00F31276" w:rsidRDefault="008D7162" w:rsidP="008D7162">
      <w:pPr>
        <w:pStyle w:val="Titolo1"/>
      </w:pPr>
      <w:r w:rsidRPr="00F31276">
        <w:t>Microeconomia (per la finanza)</w:t>
      </w:r>
    </w:p>
    <w:p w:rsidR="008D7162" w:rsidRDefault="008D7162" w:rsidP="008D7162">
      <w:pPr>
        <w:pStyle w:val="Titolo2"/>
      </w:pPr>
      <w:r w:rsidRPr="00F31276">
        <w:t>Prof. Ferdinando Colombo</w:t>
      </w:r>
    </w:p>
    <w:p w:rsidR="002D5E17" w:rsidRDefault="008D7162" w:rsidP="008D7162">
      <w:pPr>
        <w:spacing w:before="240" w:after="120" w:line="240" w:lineRule="exact"/>
        <w:rPr>
          <w:b/>
          <w:sz w:val="18"/>
        </w:rPr>
      </w:pPr>
      <w:r>
        <w:rPr>
          <w:b/>
          <w:i/>
          <w:sz w:val="18"/>
        </w:rPr>
        <w:t>OBIETTIVO DEL CORSO E RISULTATI DI APPRENDIMENTO ATTESI</w:t>
      </w:r>
    </w:p>
    <w:p w:rsidR="008D7162" w:rsidRDefault="008D7162" w:rsidP="008D7162">
      <w:pPr>
        <w:tabs>
          <w:tab w:val="clear" w:pos="284"/>
        </w:tabs>
        <w:rPr>
          <w:rFonts w:eastAsia="Calibri"/>
          <w:szCs w:val="22"/>
          <w:lang w:eastAsia="en-US"/>
        </w:rPr>
      </w:pPr>
      <w:r w:rsidRPr="00F31276">
        <w:rPr>
          <w:rFonts w:eastAsia="Calibri"/>
          <w:szCs w:val="22"/>
          <w:lang w:eastAsia="en-US"/>
        </w:rPr>
        <w:t>Il corso si avvale dei risultati della teoria microeconomica e del calcolo delle probabilità per fornire agli studenti una conoscenza approfondita dei fondamenti della moderna economia finanziaria.</w:t>
      </w:r>
      <w:r>
        <w:rPr>
          <w:rFonts w:eastAsia="Calibri"/>
          <w:szCs w:val="22"/>
          <w:lang w:eastAsia="en-US"/>
        </w:rPr>
        <w:t xml:space="preserve"> </w:t>
      </w:r>
      <w:r w:rsidRPr="00F31276">
        <w:rPr>
          <w:rFonts w:eastAsia="Calibri"/>
          <w:szCs w:val="22"/>
          <w:lang w:eastAsia="en-US"/>
        </w:rPr>
        <w:t>La parte teorica è costantemente affiancata da esercizi numerici, i quali hanno lo scopo di aiutare gli studenti a comprendere</w:t>
      </w:r>
      <w:r>
        <w:rPr>
          <w:rFonts w:eastAsia="Calibri"/>
          <w:szCs w:val="22"/>
          <w:lang w:eastAsia="en-US"/>
        </w:rPr>
        <w:t xml:space="preserve"> </w:t>
      </w:r>
      <w:r w:rsidR="00026047">
        <w:rPr>
          <w:rFonts w:eastAsia="Calibri"/>
          <w:szCs w:val="22"/>
          <w:lang w:eastAsia="en-US"/>
        </w:rPr>
        <w:t>e approfondire</w:t>
      </w:r>
      <w:r w:rsidRPr="00F31276">
        <w:rPr>
          <w:rFonts w:eastAsia="Calibri"/>
          <w:szCs w:val="22"/>
          <w:lang w:eastAsia="en-US"/>
        </w:rPr>
        <w:t xml:space="preserve"> i concetti economico-finanziari </w:t>
      </w:r>
      <w:r w:rsidR="00026047">
        <w:rPr>
          <w:rFonts w:eastAsia="Calibri"/>
          <w:szCs w:val="22"/>
          <w:lang w:eastAsia="en-US"/>
        </w:rPr>
        <w:t>e i risultati analitici discussi</w:t>
      </w:r>
      <w:r w:rsidRPr="00F31276">
        <w:rPr>
          <w:rFonts w:eastAsia="Calibri"/>
          <w:szCs w:val="22"/>
          <w:lang w:eastAsia="en-US"/>
        </w:rPr>
        <w:t xml:space="preserve"> nel corso. Le lezioni in aula informatica hanno invece lo scopo di stimolare gli studenti all’</w:t>
      </w:r>
      <w:r>
        <w:rPr>
          <w:rFonts w:eastAsia="Calibri"/>
          <w:szCs w:val="22"/>
          <w:lang w:eastAsia="en-US"/>
        </w:rPr>
        <w:t>analisi autonoma di dati finanziari.</w:t>
      </w:r>
    </w:p>
    <w:p w:rsidR="008D7162" w:rsidRDefault="008D7162" w:rsidP="008D7162">
      <w:pPr>
        <w:tabs>
          <w:tab w:val="clear" w:pos="284"/>
        </w:tabs>
        <w:rPr>
          <w:rFonts w:eastAsia="Calibri"/>
          <w:szCs w:val="22"/>
          <w:lang w:eastAsia="en-US"/>
        </w:rPr>
      </w:pPr>
      <w:r>
        <w:rPr>
          <w:rFonts w:eastAsia="Calibri"/>
          <w:szCs w:val="22"/>
          <w:lang w:eastAsia="en-US"/>
        </w:rPr>
        <w:t>Al termine del corso lo studente</w:t>
      </w:r>
    </w:p>
    <w:p w:rsidR="008D7162" w:rsidRPr="006358BF" w:rsidRDefault="008D7162" w:rsidP="00122EAD">
      <w:pPr>
        <w:pStyle w:val="Paragrafoelenco"/>
        <w:numPr>
          <w:ilvl w:val="0"/>
          <w:numId w:val="1"/>
        </w:numPr>
        <w:tabs>
          <w:tab w:val="clear" w:pos="284"/>
        </w:tabs>
        <w:ind w:left="284" w:hanging="284"/>
        <w:rPr>
          <w:rFonts w:eastAsia="Calibri"/>
          <w:szCs w:val="20"/>
          <w:lang w:eastAsia="en-US"/>
        </w:rPr>
      </w:pPr>
      <w:r w:rsidRPr="006358BF">
        <w:rPr>
          <w:rFonts w:eastAsia="Calibri"/>
          <w:szCs w:val="22"/>
          <w:lang w:eastAsia="en-US"/>
        </w:rPr>
        <w:t xml:space="preserve">conoscerà e saprà comprendere la </w:t>
      </w:r>
      <w:r w:rsidRPr="006358BF">
        <w:rPr>
          <w:rFonts w:eastAsia="Calibri"/>
          <w:szCs w:val="20"/>
          <w:lang w:eastAsia="en-US"/>
        </w:rPr>
        <w:t>teoria dell’aggiornamento delle credenze, la scelta</w:t>
      </w:r>
      <w:r w:rsidRPr="006358BF">
        <w:rPr>
          <w:szCs w:val="20"/>
        </w:rPr>
        <w:t xml:space="preserve"> di investimento in funzione delle relazioni probabilistiche tra i diversi </w:t>
      </w:r>
      <w:r w:rsidRPr="006358BF">
        <w:rPr>
          <w:i/>
          <w:szCs w:val="20"/>
        </w:rPr>
        <w:t>asset</w:t>
      </w:r>
      <w:r w:rsidRPr="006358BF">
        <w:rPr>
          <w:szCs w:val="20"/>
        </w:rPr>
        <w:t xml:space="preserve">, i possibili vantaggi derivanti dalla presenza di mercati finanziari evoluti, le determinanti dei prezzi degli </w:t>
      </w:r>
      <w:r w:rsidRPr="006358BF">
        <w:rPr>
          <w:i/>
          <w:szCs w:val="20"/>
        </w:rPr>
        <w:t>asset</w:t>
      </w:r>
      <w:r w:rsidRPr="006358BF">
        <w:rPr>
          <w:szCs w:val="20"/>
        </w:rPr>
        <w:t>, i fattori psicologici che possono indurre gli investitori a effettuare scelte «irrazionali»</w:t>
      </w:r>
      <w:r w:rsidR="00221CDA">
        <w:rPr>
          <w:szCs w:val="20"/>
        </w:rPr>
        <w:t>. Ciò gli permetterà</w:t>
      </w:r>
      <w:r>
        <w:rPr>
          <w:szCs w:val="20"/>
        </w:rPr>
        <w:t xml:space="preserve"> di elaborare strategie di investimento </w:t>
      </w:r>
      <w:r w:rsidR="00221CDA">
        <w:rPr>
          <w:szCs w:val="20"/>
        </w:rPr>
        <w:t>adeguate alle esigenze del cliente, nonché</w:t>
      </w:r>
      <w:r>
        <w:rPr>
          <w:szCs w:val="20"/>
        </w:rPr>
        <w:t xml:space="preserve"> di gestire efficacemente rapporti di consulenza finanziaria.</w:t>
      </w:r>
    </w:p>
    <w:p w:rsidR="008D7162" w:rsidRPr="00C80341" w:rsidRDefault="008D7162" w:rsidP="00122EAD">
      <w:pPr>
        <w:pStyle w:val="Paragrafoelenco"/>
        <w:numPr>
          <w:ilvl w:val="0"/>
          <w:numId w:val="1"/>
        </w:numPr>
        <w:tabs>
          <w:tab w:val="clear" w:pos="284"/>
        </w:tabs>
        <w:ind w:left="284" w:hanging="284"/>
        <w:rPr>
          <w:rFonts w:eastAsia="Calibri"/>
          <w:szCs w:val="20"/>
          <w:lang w:eastAsia="en-US"/>
        </w:rPr>
      </w:pPr>
      <w:r>
        <w:rPr>
          <w:szCs w:val="20"/>
        </w:rPr>
        <w:t>sarà in grado di utilizzare le conoscenze della moderna economia finanziaria per individuare le strategie di investimento e di comunicazione più appropriate per i propri clienti, tenuto anche conto dei fattori psicologici che possono determinare uno iato tra qualità oggettiva delle strategie e percezione degli investitori.</w:t>
      </w:r>
    </w:p>
    <w:p w:rsidR="008D7162" w:rsidRPr="003A27CD" w:rsidRDefault="008D7162" w:rsidP="00122EAD">
      <w:pPr>
        <w:pStyle w:val="Paragrafoelenco"/>
        <w:numPr>
          <w:ilvl w:val="0"/>
          <w:numId w:val="1"/>
        </w:numPr>
        <w:tabs>
          <w:tab w:val="clear" w:pos="284"/>
        </w:tabs>
        <w:ind w:left="284" w:hanging="284"/>
        <w:rPr>
          <w:rFonts w:eastAsia="Calibri"/>
          <w:szCs w:val="20"/>
          <w:lang w:eastAsia="en-US"/>
        </w:rPr>
      </w:pPr>
      <w:r>
        <w:rPr>
          <w:szCs w:val="20"/>
        </w:rPr>
        <w:t>saprà interpretare e analizzare autonomamente, anche con l’utilizzo di programmi statistici, l’enorme mole di dati economico-finanziari disponibili su numerose piattaforme specializzate, nonché elaborare scenari probabilistici alternativi.</w:t>
      </w:r>
    </w:p>
    <w:p w:rsidR="008D7162" w:rsidRPr="00CC61FB" w:rsidRDefault="008D7162" w:rsidP="00122EAD">
      <w:pPr>
        <w:pStyle w:val="Paragrafoelenco"/>
        <w:numPr>
          <w:ilvl w:val="0"/>
          <w:numId w:val="1"/>
        </w:numPr>
        <w:tabs>
          <w:tab w:val="clear" w:pos="284"/>
        </w:tabs>
        <w:ind w:left="284" w:hanging="284"/>
        <w:rPr>
          <w:rFonts w:eastAsia="Calibri"/>
          <w:szCs w:val="20"/>
          <w:lang w:eastAsia="en-US"/>
        </w:rPr>
      </w:pPr>
      <w:r>
        <w:rPr>
          <w:szCs w:val="20"/>
        </w:rPr>
        <w:t>sarà in grado di comunicare in modo chiaro e rigoroso - e, se necessario, anche formale – le conclusioni delle sue analisi, nonché le ragioni delle sue decisioni, sia con esperti del settore, sia con investitori caratterizzati da un’educazione finanziaria modesta.</w:t>
      </w:r>
    </w:p>
    <w:p w:rsidR="008D7162" w:rsidRPr="00C80341" w:rsidRDefault="008D7162" w:rsidP="00122EAD">
      <w:pPr>
        <w:pStyle w:val="Paragrafoelenco"/>
        <w:numPr>
          <w:ilvl w:val="0"/>
          <w:numId w:val="1"/>
        </w:numPr>
        <w:tabs>
          <w:tab w:val="clear" w:pos="284"/>
        </w:tabs>
        <w:ind w:left="284" w:hanging="284"/>
        <w:rPr>
          <w:rFonts w:eastAsia="Calibri"/>
          <w:szCs w:val="20"/>
          <w:lang w:eastAsia="en-US"/>
        </w:rPr>
      </w:pPr>
      <w:r>
        <w:rPr>
          <w:szCs w:val="20"/>
        </w:rPr>
        <w:t>avrà sviluppato una capacità di interpretazione dei fenomeni economico-finanziari che gli permetterà di meglio comprendere la complessità dei mercati e della mente umana</w:t>
      </w:r>
      <w:r w:rsidR="00A50AF4">
        <w:rPr>
          <w:szCs w:val="20"/>
        </w:rPr>
        <w:t xml:space="preserve"> e</w:t>
      </w:r>
      <w:r>
        <w:rPr>
          <w:szCs w:val="20"/>
        </w:rPr>
        <w:t xml:space="preserve">, in alcuni casi, di elaborare nuove teorie. </w:t>
      </w:r>
    </w:p>
    <w:p w:rsidR="008D7162" w:rsidRDefault="008D7162" w:rsidP="008D7162">
      <w:pPr>
        <w:spacing w:before="1200" w:after="120"/>
        <w:rPr>
          <w:b/>
          <w:i/>
          <w:sz w:val="18"/>
        </w:rPr>
      </w:pPr>
      <w:r>
        <w:rPr>
          <w:b/>
          <w:i/>
          <w:sz w:val="18"/>
        </w:rPr>
        <w:lastRenderedPageBreak/>
        <w:t>PROGRAMMA DEL CORSO</w:t>
      </w:r>
    </w:p>
    <w:p w:rsidR="008D7162" w:rsidRPr="00802230" w:rsidRDefault="008D7162" w:rsidP="008D7162">
      <w:pPr>
        <w:tabs>
          <w:tab w:val="clear" w:pos="284"/>
        </w:tabs>
        <w:spacing w:before="120"/>
        <w:ind w:left="284" w:hanging="284"/>
        <w:rPr>
          <w:rFonts w:eastAsia="Calibri"/>
          <w:szCs w:val="22"/>
          <w:lang w:eastAsia="en-US"/>
        </w:rPr>
      </w:pPr>
      <w:r w:rsidRPr="00802230">
        <w:rPr>
          <w:rFonts w:eastAsia="Calibri"/>
          <w:i/>
          <w:szCs w:val="22"/>
          <w:lang w:eastAsia="en-US"/>
        </w:rPr>
        <w:t>–</w:t>
      </w:r>
      <w:r>
        <w:rPr>
          <w:rFonts w:eastAsia="Calibri"/>
          <w:i/>
          <w:szCs w:val="22"/>
          <w:lang w:eastAsia="en-US"/>
        </w:rPr>
        <w:tab/>
      </w:r>
      <w:r w:rsidR="00026047">
        <w:rPr>
          <w:rFonts w:eastAsia="Calibri"/>
          <w:i/>
          <w:szCs w:val="22"/>
          <w:lang w:eastAsia="en-US"/>
        </w:rPr>
        <w:t>Teoria delle decisioni</w:t>
      </w:r>
      <w:r w:rsidR="00026047">
        <w:rPr>
          <w:rFonts w:eastAsia="Calibri"/>
          <w:szCs w:val="22"/>
          <w:lang w:eastAsia="en-US"/>
        </w:rPr>
        <w:t>. Teorie</w:t>
      </w:r>
      <w:r w:rsidRPr="00802230">
        <w:rPr>
          <w:rFonts w:eastAsia="Calibri"/>
          <w:szCs w:val="22"/>
          <w:lang w:eastAsia="en-US"/>
        </w:rPr>
        <w:t xml:space="preserve"> dell’utilità attesa</w:t>
      </w:r>
      <w:r w:rsidR="00026047">
        <w:rPr>
          <w:rFonts w:eastAsia="Calibri"/>
          <w:szCs w:val="22"/>
          <w:lang w:eastAsia="en-US"/>
        </w:rPr>
        <w:t xml:space="preserve"> e dell’utilità attesa soggettiva</w:t>
      </w:r>
      <w:r w:rsidRPr="00802230">
        <w:rPr>
          <w:rFonts w:eastAsia="Calibri"/>
          <w:szCs w:val="22"/>
          <w:lang w:eastAsia="en-US"/>
        </w:rPr>
        <w:t>.</w:t>
      </w:r>
    </w:p>
    <w:p w:rsidR="008D7162" w:rsidRPr="00F31276"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 xml:space="preserve">Incertezza e </w:t>
      </w:r>
      <w:r w:rsidR="00026047">
        <w:rPr>
          <w:rFonts w:eastAsia="Calibri"/>
          <w:i/>
          <w:szCs w:val="22"/>
          <w:lang w:eastAsia="en-US"/>
        </w:rPr>
        <w:t>informazione</w:t>
      </w:r>
      <w:r w:rsidRPr="00F31276">
        <w:rPr>
          <w:rFonts w:eastAsia="Calibri"/>
          <w:szCs w:val="22"/>
          <w:lang w:eastAsia="en-US"/>
        </w:rPr>
        <w:t>. Probabilità</w:t>
      </w:r>
      <w:r w:rsidR="00026047">
        <w:rPr>
          <w:rFonts w:eastAsia="Calibri"/>
          <w:szCs w:val="22"/>
          <w:lang w:eastAsia="en-US"/>
        </w:rPr>
        <w:t xml:space="preserve"> soggettiva e informazione. Valore dell’informazione e scelta tra strutture informative. </w:t>
      </w:r>
      <w:r w:rsidR="00285171">
        <w:rPr>
          <w:rFonts w:eastAsia="Calibri"/>
          <w:szCs w:val="22"/>
          <w:lang w:eastAsia="en-US"/>
        </w:rPr>
        <w:t>Mercati e informazione</w:t>
      </w:r>
      <w:r w:rsidR="00633D32">
        <w:rPr>
          <w:rFonts w:eastAsia="Calibri"/>
          <w:szCs w:val="22"/>
          <w:lang w:eastAsia="en-US"/>
        </w:rPr>
        <w:t>: analisi di un modello economico di comportamento imitativo</w:t>
      </w:r>
      <w:r w:rsidRPr="00F31276">
        <w:rPr>
          <w:rFonts w:eastAsia="Calibri"/>
          <w:szCs w:val="22"/>
          <w:lang w:eastAsia="en-US"/>
        </w:rPr>
        <w:t>.</w:t>
      </w:r>
    </w:p>
    <w:p w:rsidR="008D7162" w:rsidRPr="00F31276"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R</w:t>
      </w:r>
      <w:r w:rsidR="00285171">
        <w:rPr>
          <w:rFonts w:eastAsia="Calibri"/>
          <w:i/>
          <w:szCs w:val="22"/>
          <w:lang w:eastAsia="en-US"/>
        </w:rPr>
        <w:t>endimento e r</w:t>
      </w:r>
      <w:r w:rsidRPr="00F31276">
        <w:rPr>
          <w:rFonts w:eastAsia="Calibri"/>
          <w:i/>
          <w:szCs w:val="22"/>
          <w:lang w:eastAsia="en-US"/>
        </w:rPr>
        <w:t>ischio</w:t>
      </w:r>
      <w:r w:rsidRPr="00F31276">
        <w:rPr>
          <w:rFonts w:eastAsia="Calibri"/>
          <w:szCs w:val="22"/>
          <w:lang w:eastAsia="en-US"/>
        </w:rPr>
        <w:t>. Valore atteso</w:t>
      </w:r>
      <w:r w:rsidR="00285171">
        <w:rPr>
          <w:rFonts w:eastAsia="Calibri"/>
          <w:szCs w:val="22"/>
          <w:lang w:eastAsia="en-US"/>
        </w:rPr>
        <w:t xml:space="preserve">. Ricchezza e utilità. Dominanza stocastica del primo ordine. Attitudine nei confronti del rischio. </w:t>
      </w:r>
      <w:r w:rsidRPr="00F31276">
        <w:rPr>
          <w:rFonts w:eastAsia="Calibri"/>
          <w:szCs w:val="22"/>
          <w:lang w:eastAsia="en-US"/>
        </w:rPr>
        <w:t xml:space="preserve">Avversione assoluta e relativa al rischio. Prudenza </w:t>
      </w:r>
      <w:r w:rsidR="00285171">
        <w:rPr>
          <w:rFonts w:eastAsia="Calibri"/>
          <w:szCs w:val="22"/>
          <w:lang w:eastAsia="en-US"/>
        </w:rPr>
        <w:t>e temperanza</w:t>
      </w:r>
      <w:r w:rsidRPr="00F31276">
        <w:rPr>
          <w:rFonts w:eastAsia="Calibri"/>
          <w:szCs w:val="22"/>
          <w:lang w:eastAsia="en-US"/>
        </w:rPr>
        <w:t xml:space="preserve">. </w:t>
      </w:r>
      <w:r w:rsidR="00285171">
        <w:rPr>
          <w:rFonts w:eastAsia="Calibri"/>
          <w:szCs w:val="22"/>
          <w:lang w:eastAsia="en-US"/>
        </w:rPr>
        <w:t>Funzioni di utilità più utilizzate in economia. Dominanza stocastica del secondo ordine</w:t>
      </w:r>
      <w:r w:rsidR="00325E63">
        <w:rPr>
          <w:rFonts w:eastAsia="Calibri"/>
          <w:szCs w:val="22"/>
          <w:lang w:eastAsia="en-US"/>
        </w:rPr>
        <w:t>. Do</w:t>
      </w:r>
      <w:r w:rsidR="00285171">
        <w:rPr>
          <w:rFonts w:eastAsia="Calibri"/>
          <w:szCs w:val="22"/>
          <w:lang w:eastAsia="en-US"/>
        </w:rPr>
        <w:t xml:space="preserve">minanza </w:t>
      </w:r>
      <w:r w:rsidR="00325E63">
        <w:rPr>
          <w:rFonts w:eastAsia="Calibri"/>
          <w:szCs w:val="22"/>
          <w:lang w:eastAsia="en-US"/>
        </w:rPr>
        <w:t xml:space="preserve">stocastica </w:t>
      </w:r>
      <w:r w:rsidR="00285171">
        <w:rPr>
          <w:rFonts w:eastAsia="Calibri"/>
          <w:szCs w:val="22"/>
          <w:lang w:eastAsia="en-US"/>
        </w:rPr>
        <w:t>monotona</w:t>
      </w:r>
      <w:r w:rsidR="00325E63">
        <w:rPr>
          <w:rFonts w:eastAsia="Calibri"/>
          <w:szCs w:val="22"/>
          <w:lang w:eastAsia="en-US"/>
        </w:rPr>
        <w:t xml:space="preserve"> del secondo ordine</w:t>
      </w:r>
      <w:r w:rsidR="00285171">
        <w:rPr>
          <w:rFonts w:eastAsia="Calibri"/>
          <w:szCs w:val="22"/>
          <w:lang w:eastAsia="en-US"/>
        </w:rPr>
        <w:t>. Utilità attesa e approccio media-varianza.</w:t>
      </w:r>
    </w:p>
    <w:p w:rsidR="008D7162" w:rsidRPr="00F31276" w:rsidRDefault="008D7162" w:rsidP="00325E63">
      <w:pPr>
        <w:tabs>
          <w:tab w:val="clear" w:pos="284"/>
        </w:tabs>
        <w:spacing w:before="120"/>
        <w:ind w:left="284" w:hanging="284"/>
        <w:rPr>
          <w:rFonts w:eastAsia="Calibri"/>
          <w:szCs w:val="20"/>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Scelte di investimento, di assicurazione e di risparmio</w:t>
      </w:r>
      <w:r w:rsidRPr="00F31276">
        <w:rPr>
          <w:rFonts w:eastAsia="Calibri"/>
          <w:szCs w:val="22"/>
          <w:lang w:eastAsia="en-US"/>
        </w:rPr>
        <w:t>. Scelta ottima di portafoglio</w:t>
      </w:r>
      <w:r w:rsidR="00325E63">
        <w:rPr>
          <w:rFonts w:eastAsia="Calibri"/>
          <w:szCs w:val="22"/>
          <w:lang w:eastAsia="en-US"/>
        </w:rPr>
        <w:t>. Utilità attesa e diversificazione. Approccio media-varianza. Scelta ottima di assicurazione.</w:t>
      </w:r>
      <w:r w:rsidRPr="00F31276">
        <w:rPr>
          <w:rFonts w:eastAsia="Calibri"/>
          <w:szCs w:val="22"/>
          <w:lang w:eastAsia="en-US"/>
        </w:rPr>
        <w:t xml:space="preserve"> Rischio e risparmio</w:t>
      </w:r>
      <w:r w:rsidR="00325E63">
        <w:rPr>
          <w:rFonts w:eastAsia="Calibri"/>
          <w:szCs w:val="22"/>
          <w:lang w:eastAsia="en-US"/>
        </w:rPr>
        <w:t>.</w:t>
      </w:r>
    </w:p>
    <w:p w:rsidR="00634F5D"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Equilibrio concorrenziale e prezzi dei titoli</w:t>
      </w:r>
      <w:r w:rsidRPr="00F31276">
        <w:rPr>
          <w:rFonts w:eastAsia="Calibri"/>
          <w:szCs w:val="22"/>
          <w:lang w:eastAsia="en-US"/>
        </w:rPr>
        <w:t xml:space="preserve">. </w:t>
      </w:r>
      <w:r w:rsidR="00634F5D">
        <w:rPr>
          <w:rFonts w:eastAsia="Calibri"/>
          <w:szCs w:val="22"/>
          <w:lang w:eastAsia="en-US"/>
        </w:rPr>
        <w:t xml:space="preserve">Mercati e trasferimenti di ricchezza tra periodi e </w:t>
      </w:r>
      <w:r w:rsidR="00633D32">
        <w:rPr>
          <w:rFonts w:eastAsia="Calibri"/>
          <w:szCs w:val="22"/>
          <w:lang w:eastAsia="en-US"/>
        </w:rPr>
        <w:t xml:space="preserve">tra </w:t>
      </w:r>
      <w:r w:rsidR="00634F5D">
        <w:rPr>
          <w:rFonts w:eastAsia="Calibri"/>
          <w:szCs w:val="22"/>
          <w:lang w:eastAsia="en-US"/>
        </w:rPr>
        <w:t>stati del mondo</w:t>
      </w:r>
      <w:r>
        <w:rPr>
          <w:rFonts w:eastAsia="Calibri"/>
          <w:szCs w:val="22"/>
          <w:lang w:eastAsia="en-US"/>
        </w:rPr>
        <w:t xml:space="preserve">. Equilibrio </w:t>
      </w:r>
      <w:r w:rsidR="00634F5D">
        <w:rPr>
          <w:rFonts w:eastAsia="Calibri"/>
          <w:szCs w:val="22"/>
          <w:lang w:eastAsia="en-US"/>
        </w:rPr>
        <w:t xml:space="preserve">concorrenziale </w:t>
      </w:r>
      <w:r>
        <w:rPr>
          <w:rFonts w:eastAsia="Calibri"/>
          <w:szCs w:val="22"/>
          <w:lang w:eastAsia="en-US"/>
        </w:rPr>
        <w:t>con beni contingenti agli stati del mondo</w:t>
      </w:r>
      <w:r w:rsidR="00634F5D">
        <w:rPr>
          <w:rFonts w:eastAsia="Calibri"/>
          <w:szCs w:val="22"/>
          <w:lang w:eastAsia="en-US"/>
        </w:rPr>
        <w:t xml:space="preserve"> e </w:t>
      </w:r>
      <w:r w:rsidRPr="00F31276">
        <w:rPr>
          <w:rFonts w:eastAsia="Calibri"/>
          <w:szCs w:val="22"/>
          <w:lang w:eastAsia="en-US"/>
        </w:rPr>
        <w:t xml:space="preserve">con </w:t>
      </w:r>
      <w:r w:rsidRPr="00F31276">
        <w:rPr>
          <w:rFonts w:eastAsia="Calibri"/>
          <w:i/>
          <w:szCs w:val="22"/>
          <w:lang w:eastAsia="en-US"/>
        </w:rPr>
        <w:t>Arrow’s securities</w:t>
      </w:r>
      <w:r w:rsidRPr="00F31276">
        <w:rPr>
          <w:rFonts w:eastAsia="Calibri"/>
          <w:szCs w:val="22"/>
          <w:lang w:eastAsia="en-US"/>
        </w:rPr>
        <w:t xml:space="preserve">. Mercati incompleti, arbitraggi e inefficienza. </w:t>
      </w:r>
      <w:r w:rsidR="00634F5D">
        <w:rPr>
          <w:rFonts w:eastAsia="Calibri"/>
          <w:szCs w:val="22"/>
          <w:lang w:eastAsia="en-US"/>
        </w:rPr>
        <w:t>T</w:t>
      </w:r>
      <w:r w:rsidRPr="00F31276">
        <w:rPr>
          <w:rFonts w:eastAsia="Calibri"/>
          <w:szCs w:val="22"/>
          <w:lang w:eastAsia="en-US"/>
        </w:rPr>
        <w:t>eorema di additività del valore. Opzioni e mercati completi</w:t>
      </w:r>
      <w:r w:rsidR="00634F5D">
        <w:rPr>
          <w:rFonts w:eastAsia="Calibri"/>
          <w:szCs w:val="22"/>
          <w:lang w:eastAsia="en-US"/>
        </w:rPr>
        <w:t>.</w:t>
      </w:r>
      <w:r w:rsidR="00633D32">
        <w:rPr>
          <w:rFonts w:eastAsia="Calibri"/>
          <w:szCs w:val="22"/>
          <w:lang w:eastAsia="en-US"/>
        </w:rPr>
        <w:t xml:space="preserve"> Analisi di un modello economico di intermediazione e di crisi finanziaria. </w:t>
      </w:r>
    </w:p>
    <w:p w:rsidR="008D7162" w:rsidRDefault="008D7162" w:rsidP="008D7162">
      <w:pPr>
        <w:tabs>
          <w:tab w:val="clear" w:pos="284"/>
        </w:tabs>
        <w:spacing w:before="120"/>
        <w:ind w:left="284" w:hanging="284"/>
        <w:rPr>
          <w:rFonts w:eastAsia="Calibri"/>
          <w:szCs w:val="22"/>
          <w:lang w:eastAsia="en-US"/>
        </w:rPr>
      </w:pPr>
      <w:r w:rsidRPr="00F31276">
        <w:rPr>
          <w:rFonts w:eastAsia="Calibri"/>
          <w:szCs w:val="22"/>
          <w:lang w:eastAsia="en-US"/>
        </w:rPr>
        <w:t>–</w:t>
      </w:r>
      <w:r w:rsidRPr="00F31276">
        <w:rPr>
          <w:rFonts w:eastAsia="Calibri"/>
          <w:szCs w:val="22"/>
          <w:lang w:eastAsia="en-US"/>
        </w:rPr>
        <w:tab/>
      </w:r>
      <w:r w:rsidRPr="00F31276">
        <w:rPr>
          <w:rFonts w:eastAsia="Calibri"/>
          <w:i/>
          <w:szCs w:val="22"/>
          <w:lang w:eastAsia="en-US"/>
        </w:rPr>
        <w:t>Finanza comportamentale</w:t>
      </w:r>
      <w:r w:rsidRPr="00F31276">
        <w:rPr>
          <w:rFonts w:eastAsia="Calibri"/>
          <w:szCs w:val="22"/>
          <w:lang w:eastAsia="en-US"/>
        </w:rPr>
        <w:t xml:space="preserve">. </w:t>
      </w:r>
      <w:r w:rsidRPr="00F31276">
        <w:rPr>
          <w:rFonts w:eastAsia="Calibri"/>
          <w:szCs w:val="20"/>
          <w:lang w:eastAsia="en-US"/>
        </w:rPr>
        <w:t>Comportamenti finanziari «anomali».</w:t>
      </w:r>
      <w:r w:rsidRPr="00633D32">
        <w:rPr>
          <w:rFonts w:eastAsia="Calibri"/>
          <w:szCs w:val="20"/>
          <w:lang w:eastAsia="en-US"/>
        </w:rPr>
        <w:t xml:space="preserve"> </w:t>
      </w:r>
      <w:r w:rsidR="00633D32" w:rsidRPr="00633D32">
        <w:rPr>
          <w:rFonts w:eastAsia="Calibri"/>
          <w:szCs w:val="20"/>
          <w:lang w:eastAsia="en-US"/>
        </w:rPr>
        <w:t xml:space="preserve">Economia comportamentale. </w:t>
      </w:r>
      <w:r w:rsidRPr="00F31276">
        <w:rPr>
          <w:rFonts w:eastAsia="Calibri"/>
          <w:szCs w:val="22"/>
          <w:lang w:eastAsia="en-US"/>
        </w:rPr>
        <w:t>Fattori psicologici che influenzano il comportamento degli investitori nei mercati finanziari</w:t>
      </w:r>
      <w:r w:rsidR="00633D32">
        <w:rPr>
          <w:rFonts w:eastAsia="Calibri"/>
          <w:szCs w:val="22"/>
          <w:lang w:eastAsia="en-US"/>
        </w:rPr>
        <w:t>.</w:t>
      </w:r>
    </w:p>
    <w:p w:rsidR="008D7162" w:rsidRPr="00F31276" w:rsidRDefault="008D7162" w:rsidP="008D7162">
      <w:pPr>
        <w:tabs>
          <w:tab w:val="clear" w:pos="284"/>
        </w:tabs>
        <w:spacing w:before="120"/>
        <w:rPr>
          <w:rFonts w:eastAsia="Calibri"/>
          <w:szCs w:val="22"/>
          <w:lang w:eastAsia="en-US"/>
        </w:rPr>
      </w:pPr>
      <w:r>
        <w:rPr>
          <w:rFonts w:eastAsia="Calibri"/>
          <w:szCs w:val="22"/>
          <w:lang w:eastAsia="en-US"/>
        </w:rPr>
        <w:t>Un programma del corso molto più dettagliato è disponibile in Blackboard.</w:t>
      </w:r>
    </w:p>
    <w:p w:rsidR="008D7162" w:rsidRPr="002D263E" w:rsidRDefault="008D7162" w:rsidP="00122EAD">
      <w:pPr>
        <w:spacing w:before="240" w:after="120"/>
        <w:rPr>
          <w:b/>
          <w:i/>
          <w:sz w:val="18"/>
        </w:rPr>
      </w:pPr>
      <w:r w:rsidRPr="002D263E">
        <w:rPr>
          <w:b/>
          <w:i/>
          <w:sz w:val="18"/>
        </w:rPr>
        <w:t>BIBLIOGRAFIA</w:t>
      </w:r>
      <w:r w:rsidR="004F0D88">
        <w:rPr>
          <w:rStyle w:val="Rimandonotaapidipagina"/>
          <w:b/>
          <w:i/>
          <w:sz w:val="18"/>
        </w:rPr>
        <w:footnoteReference w:id="1"/>
      </w:r>
    </w:p>
    <w:p w:rsidR="00B8779E" w:rsidRPr="00634F5D" w:rsidRDefault="00634F5D" w:rsidP="008D7162">
      <w:pPr>
        <w:pStyle w:val="Testo1"/>
        <w:spacing w:before="0" w:line="240" w:lineRule="atLeast"/>
        <w:rPr>
          <w:rFonts w:ascii="Times New Roman" w:hAnsi="Times New Roman"/>
          <w:spacing w:val="-5"/>
          <w:sz w:val="16"/>
          <w:szCs w:val="16"/>
        </w:rPr>
      </w:pPr>
      <w:r w:rsidRPr="00634F5D">
        <w:rPr>
          <w:rFonts w:ascii="Times New Roman" w:hAnsi="Times New Roman"/>
          <w:smallCaps/>
          <w:spacing w:val="-5"/>
          <w:sz w:val="16"/>
          <w:szCs w:val="16"/>
        </w:rPr>
        <w:t>F. Colombo</w:t>
      </w:r>
      <w:r w:rsidR="00B8779E" w:rsidRPr="00634F5D">
        <w:rPr>
          <w:rFonts w:ascii="Times New Roman" w:hAnsi="Times New Roman"/>
          <w:smallCaps/>
          <w:spacing w:val="-5"/>
          <w:sz w:val="16"/>
          <w:szCs w:val="16"/>
        </w:rPr>
        <w:t>,</w:t>
      </w:r>
      <w:r w:rsidRPr="00634F5D">
        <w:rPr>
          <w:rFonts w:ascii="Times New Roman" w:hAnsi="Times New Roman"/>
          <w:i/>
          <w:spacing w:val="-5"/>
          <w:sz w:val="16"/>
          <w:szCs w:val="16"/>
        </w:rPr>
        <w:t xml:space="preserve"> Fondamenti di economia finanziaria</w:t>
      </w:r>
      <w:r w:rsidR="00B8779E" w:rsidRPr="00634F5D">
        <w:rPr>
          <w:rFonts w:ascii="Times New Roman" w:hAnsi="Times New Roman"/>
          <w:i/>
          <w:spacing w:val="-5"/>
          <w:sz w:val="16"/>
          <w:szCs w:val="16"/>
        </w:rPr>
        <w:t>,</w:t>
      </w:r>
      <w:r w:rsidR="00B8779E" w:rsidRPr="00634F5D">
        <w:rPr>
          <w:rFonts w:ascii="Times New Roman" w:hAnsi="Times New Roman"/>
          <w:spacing w:val="-5"/>
          <w:sz w:val="16"/>
          <w:szCs w:val="16"/>
        </w:rPr>
        <w:t xml:space="preserve"> </w:t>
      </w:r>
      <w:r w:rsidRPr="00634F5D">
        <w:rPr>
          <w:rFonts w:ascii="Times New Roman" w:hAnsi="Times New Roman"/>
          <w:spacing w:val="-5"/>
          <w:sz w:val="16"/>
          <w:szCs w:val="16"/>
        </w:rPr>
        <w:t>Giappichelli</w:t>
      </w:r>
      <w:r w:rsidR="00B8779E" w:rsidRPr="00634F5D">
        <w:rPr>
          <w:rFonts w:ascii="Times New Roman" w:hAnsi="Times New Roman"/>
          <w:spacing w:val="-5"/>
          <w:sz w:val="16"/>
          <w:szCs w:val="16"/>
        </w:rPr>
        <w:t>, 20</w:t>
      </w:r>
      <w:r w:rsidRPr="00634F5D">
        <w:rPr>
          <w:rFonts w:ascii="Times New Roman" w:hAnsi="Times New Roman"/>
          <w:spacing w:val="-5"/>
          <w:sz w:val="16"/>
          <w:szCs w:val="16"/>
        </w:rPr>
        <w:t>21</w:t>
      </w:r>
      <w:r w:rsidR="00B8779E" w:rsidRPr="00634F5D">
        <w:rPr>
          <w:rFonts w:ascii="Times New Roman" w:hAnsi="Times New Roman"/>
          <w:spacing w:val="-5"/>
          <w:sz w:val="16"/>
          <w:szCs w:val="16"/>
        </w:rPr>
        <w:t>.</w:t>
      </w:r>
      <w:r w:rsidR="004F0D88">
        <w:rPr>
          <w:rFonts w:ascii="Times New Roman" w:hAnsi="Times New Roman"/>
          <w:spacing w:val="-5"/>
          <w:sz w:val="16"/>
          <w:szCs w:val="16"/>
        </w:rPr>
        <w:t xml:space="preserve"> </w:t>
      </w:r>
      <w:hyperlink r:id="rId9" w:history="1">
        <w:r w:rsidR="004F0D88" w:rsidRPr="004F0D88">
          <w:rPr>
            <w:rStyle w:val="Collegamentoipertestuale"/>
            <w:rFonts w:ascii="Times New Roman" w:hAnsi="Times New Roman"/>
            <w:i/>
            <w:sz w:val="16"/>
            <w:szCs w:val="16"/>
          </w:rPr>
          <w:t>Acquista da VP</w:t>
        </w:r>
      </w:hyperlink>
    </w:p>
    <w:p w:rsidR="00634F5D" w:rsidRPr="00634F5D" w:rsidRDefault="00634F5D" w:rsidP="00634F5D">
      <w:pPr>
        <w:pStyle w:val="Testo1"/>
        <w:spacing w:before="0" w:line="240" w:lineRule="atLeast"/>
        <w:rPr>
          <w:rFonts w:ascii="Times New Roman" w:hAnsi="Times New Roman"/>
          <w:spacing w:val="-5"/>
          <w:sz w:val="16"/>
          <w:szCs w:val="16"/>
        </w:rPr>
      </w:pPr>
      <w:r w:rsidRPr="00634F5D">
        <w:rPr>
          <w:rFonts w:ascii="Times New Roman" w:hAnsi="Times New Roman"/>
          <w:smallCaps/>
          <w:spacing w:val="-5"/>
          <w:sz w:val="16"/>
          <w:szCs w:val="16"/>
        </w:rPr>
        <w:t>F. Colombo,</w:t>
      </w:r>
      <w:r w:rsidRPr="00634F5D">
        <w:rPr>
          <w:rFonts w:ascii="Times New Roman" w:hAnsi="Times New Roman"/>
          <w:i/>
          <w:spacing w:val="-5"/>
          <w:sz w:val="16"/>
          <w:szCs w:val="16"/>
        </w:rPr>
        <w:t xml:space="preserve"> Rischio, informazione, equilibrio. Esercizi di economia finanziaria,</w:t>
      </w:r>
      <w:r w:rsidRPr="00634F5D">
        <w:rPr>
          <w:rFonts w:ascii="Times New Roman" w:hAnsi="Times New Roman"/>
          <w:spacing w:val="-5"/>
          <w:sz w:val="16"/>
          <w:szCs w:val="16"/>
        </w:rPr>
        <w:t xml:space="preserve"> Giappichelli, 2021.</w:t>
      </w:r>
      <w:r w:rsidR="004F0D88">
        <w:rPr>
          <w:rFonts w:ascii="Times New Roman" w:hAnsi="Times New Roman"/>
          <w:spacing w:val="-5"/>
          <w:sz w:val="16"/>
          <w:szCs w:val="16"/>
        </w:rPr>
        <w:t xml:space="preserve"> </w:t>
      </w:r>
      <w:hyperlink r:id="rId10" w:history="1">
        <w:r w:rsidR="004F0D88" w:rsidRPr="004F0D88">
          <w:rPr>
            <w:rStyle w:val="Collegamentoipertestuale"/>
            <w:rFonts w:ascii="Times New Roman" w:hAnsi="Times New Roman"/>
            <w:i/>
            <w:sz w:val="16"/>
            <w:szCs w:val="16"/>
          </w:rPr>
          <w:t>Acquista da VP</w:t>
        </w:r>
      </w:hyperlink>
      <w:bookmarkStart w:id="0" w:name="_GoBack"/>
      <w:bookmarkEnd w:id="0"/>
    </w:p>
    <w:p w:rsidR="008D7162" w:rsidRPr="00634F5D" w:rsidRDefault="008D7162" w:rsidP="008D7162">
      <w:pPr>
        <w:pStyle w:val="Testo1"/>
        <w:spacing w:before="0" w:line="240" w:lineRule="atLeast"/>
        <w:rPr>
          <w:rFonts w:ascii="Times New Roman" w:hAnsi="Times New Roman"/>
          <w:spacing w:val="-5"/>
          <w:sz w:val="16"/>
          <w:szCs w:val="16"/>
          <w:lang w:val="en-US"/>
        </w:rPr>
      </w:pPr>
      <w:r w:rsidRPr="00634F5D">
        <w:rPr>
          <w:rFonts w:ascii="Times New Roman" w:hAnsi="Times New Roman"/>
          <w:smallCaps/>
          <w:spacing w:val="-5"/>
          <w:sz w:val="16"/>
          <w:szCs w:val="16"/>
          <w:lang w:val="en-US"/>
        </w:rPr>
        <w:t>R.B. Myerson (RM),</w:t>
      </w:r>
      <w:r w:rsidRPr="00634F5D">
        <w:rPr>
          <w:rFonts w:ascii="Times New Roman" w:hAnsi="Times New Roman"/>
          <w:i/>
          <w:spacing w:val="-5"/>
          <w:sz w:val="16"/>
          <w:szCs w:val="16"/>
          <w:lang w:val="en-US"/>
        </w:rPr>
        <w:t xml:space="preserve"> Probability Models for Economic Decisions,</w:t>
      </w:r>
      <w:r w:rsidRPr="00634F5D">
        <w:rPr>
          <w:rFonts w:ascii="Times New Roman" w:hAnsi="Times New Roman"/>
          <w:spacing w:val="-5"/>
          <w:sz w:val="16"/>
          <w:szCs w:val="16"/>
          <w:lang w:val="en-US"/>
        </w:rPr>
        <w:t xml:space="preserve"> Thomson Brooks/Cole, 2005.</w:t>
      </w:r>
    </w:p>
    <w:p w:rsidR="00634F5D" w:rsidRPr="00634F5D" w:rsidRDefault="00634F5D" w:rsidP="00634F5D">
      <w:pPr>
        <w:pStyle w:val="Testo1"/>
        <w:spacing w:before="0" w:line="240" w:lineRule="exact"/>
        <w:rPr>
          <w:rFonts w:ascii="Times New Roman" w:hAnsi="Times New Roman"/>
          <w:spacing w:val="-5"/>
          <w:sz w:val="16"/>
          <w:szCs w:val="16"/>
          <w:lang w:val="en-US"/>
        </w:rPr>
      </w:pPr>
      <w:r w:rsidRPr="00634F5D">
        <w:rPr>
          <w:rFonts w:ascii="Times New Roman" w:hAnsi="Times New Roman"/>
          <w:smallCaps/>
          <w:sz w:val="16"/>
          <w:szCs w:val="16"/>
          <w:lang w:val="en-US"/>
        </w:rPr>
        <w:t>S. Bikhchandani e S. Sharma (BS)</w:t>
      </w:r>
      <w:r w:rsidRPr="00634F5D">
        <w:rPr>
          <w:rFonts w:ascii="Times New Roman" w:hAnsi="Times New Roman"/>
          <w:bCs/>
          <w:sz w:val="16"/>
          <w:szCs w:val="16"/>
          <w:lang w:val="en-US"/>
        </w:rPr>
        <w:t xml:space="preserve">, “Herd Behavior in Financial Markets”, </w:t>
      </w:r>
      <w:r w:rsidRPr="00634F5D">
        <w:rPr>
          <w:rFonts w:ascii="Times New Roman" w:hAnsi="Times New Roman"/>
          <w:bCs/>
          <w:i/>
          <w:sz w:val="16"/>
          <w:szCs w:val="16"/>
          <w:lang w:val="en-US"/>
        </w:rPr>
        <w:t>IMF Staff Papers</w:t>
      </w:r>
      <w:r w:rsidRPr="00634F5D">
        <w:rPr>
          <w:rFonts w:ascii="Times New Roman" w:hAnsi="Times New Roman"/>
          <w:bCs/>
          <w:sz w:val="16"/>
          <w:szCs w:val="16"/>
          <w:lang w:val="en-US"/>
        </w:rPr>
        <w:t>, 47, 2001</w:t>
      </w:r>
    </w:p>
    <w:p w:rsidR="00C61C9F" w:rsidRDefault="00C61C9F" w:rsidP="008D7162">
      <w:pPr>
        <w:pStyle w:val="Testo1"/>
        <w:spacing w:before="0" w:line="240" w:lineRule="atLeast"/>
        <w:rPr>
          <w:rFonts w:ascii="Times New Roman" w:hAnsi="Times New Roman"/>
          <w:smallCaps/>
          <w:spacing w:val="-5"/>
          <w:sz w:val="16"/>
          <w:szCs w:val="16"/>
          <w:lang w:val="en-US"/>
        </w:rPr>
      </w:pPr>
      <w:r w:rsidRPr="00C002A8">
        <w:rPr>
          <w:rFonts w:ascii="Times New Roman" w:hAnsi="Times New Roman"/>
          <w:smallCaps/>
          <w:sz w:val="16"/>
          <w:szCs w:val="16"/>
          <w:lang w:val="en-US"/>
        </w:rPr>
        <w:t xml:space="preserve">A. Franklin e </w:t>
      </w:r>
      <w:r w:rsidR="00C002A8" w:rsidRPr="00C002A8">
        <w:rPr>
          <w:rFonts w:ascii="Times New Roman" w:hAnsi="Times New Roman"/>
          <w:smallCaps/>
          <w:sz w:val="16"/>
          <w:szCs w:val="16"/>
          <w:lang w:val="en-US"/>
        </w:rPr>
        <w:t xml:space="preserve">D. </w:t>
      </w:r>
      <w:r w:rsidRPr="00C002A8">
        <w:rPr>
          <w:rFonts w:ascii="Times New Roman" w:hAnsi="Times New Roman"/>
          <w:smallCaps/>
          <w:sz w:val="16"/>
          <w:szCs w:val="16"/>
          <w:lang w:val="en-US"/>
        </w:rPr>
        <w:t>Gale</w:t>
      </w:r>
      <w:r w:rsidRPr="00C002A8">
        <w:rPr>
          <w:rFonts w:ascii="Times New Roman" w:hAnsi="Times New Roman"/>
          <w:sz w:val="16"/>
          <w:szCs w:val="16"/>
          <w:lang w:val="en-GB"/>
        </w:rPr>
        <w:t xml:space="preserve">, </w:t>
      </w:r>
      <w:r w:rsidRPr="00C002A8">
        <w:rPr>
          <w:rFonts w:ascii="Times New Roman" w:hAnsi="Times New Roman"/>
          <w:i/>
          <w:sz w:val="16"/>
          <w:szCs w:val="16"/>
          <w:lang w:val="en-GB"/>
        </w:rPr>
        <w:t>Understanding Financial Crises</w:t>
      </w:r>
      <w:r w:rsidRPr="00C002A8">
        <w:rPr>
          <w:rFonts w:ascii="Times New Roman" w:hAnsi="Times New Roman"/>
          <w:sz w:val="16"/>
          <w:szCs w:val="16"/>
          <w:lang w:val="en-GB"/>
        </w:rPr>
        <w:t>, Oxford University Press</w:t>
      </w:r>
      <w:r w:rsidR="00C002A8">
        <w:rPr>
          <w:rFonts w:ascii="Times New Roman" w:hAnsi="Times New Roman"/>
          <w:sz w:val="16"/>
          <w:szCs w:val="16"/>
          <w:lang w:val="en-GB"/>
        </w:rPr>
        <w:t xml:space="preserve">, parr. 3.1-3.5, </w:t>
      </w:r>
      <w:r w:rsidR="00C002A8" w:rsidRPr="00C002A8">
        <w:rPr>
          <w:rFonts w:ascii="Times New Roman" w:hAnsi="Times New Roman"/>
          <w:sz w:val="16"/>
          <w:szCs w:val="16"/>
          <w:lang w:val="en-GB"/>
        </w:rPr>
        <w:t>2007</w:t>
      </w:r>
    </w:p>
    <w:p w:rsidR="00C002A8" w:rsidRDefault="00C002A8" w:rsidP="008D7162">
      <w:pPr>
        <w:pStyle w:val="Testo1"/>
        <w:spacing w:before="0" w:line="240" w:lineRule="atLeast"/>
        <w:rPr>
          <w:rFonts w:ascii="Times New Roman" w:hAnsi="Times New Roman"/>
          <w:sz w:val="16"/>
          <w:szCs w:val="16"/>
          <w:lang w:val="en-GB"/>
        </w:rPr>
      </w:pPr>
      <w:r>
        <w:rPr>
          <w:rFonts w:ascii="Times New Roman" w:hAnsi="Times New Roman"/>
          <w:sz w:val="16"/>
          <w:szCs w:val="16"/>
          <w:lang w:val="en-US"/>
        </w:rPr>
        <w:t>D.</w:t>
      </w:r>
      <w:r w:rsidRPr="00C002A8">
        <w:rPr>
          <w:rFonts w:ascii="Times New Roman" w:hAnsi="Times New Roman"/>
          <w:sz w:val="16"/>
          <w:szCs w:val="16"/>
          <w:lang w:val="en-GB"/>
        </w:rPr>
        <w:t xml:space="preserve"> </w:t>
      </w:r>
      <w:r w:rsidRPr="00C002A8">
        <w:rPr>
          <w:rFonts w:ascii="Times New Roman" w:hAnsi="Times New Roman"/>
          <w:smallCaps/>
          <w:sz w:val="16"/>
          <w:szCs w:val="16"/>
          <w:lang w:val="en-GB"/>
        </w:rPr>
        <w:t xml:space="preserve">Kahneman </w:t>
      </w:r>
      <w:r w:rsidRPr="00C002A8">
        <w:rPr>
          <w:rFonts w:ascii="Times New Roman" w:hAnsi="Times New Roman"/>
          <w:sz w:val="16"/>
          <w:szCs w:val="16"/>
          <w:lang w:val="en-GB"/>
        </w:rPr>
        <w:t xml:space="preserve">(2003): “Maps of Bounded Rationality: Psychology for Behavioral Economics”, </w:t>
      </w:r>
      <w:r w:rsidRPr="00C002A8">
        <w:rPr>
          <w:rFonts w:ascii="Times New Roman" w:hAnsi="Times New Roman"/>
          <w:i/>
          <w:sz w:val="16"/>
          <w:szCs w:val="16"/>
          <w:lang w:val="en-GB"/>
        </w:rPr>
        <w:t>American Economic Review</w:t>
      </w:r>
      <w:r w:rsidRPr="00C002A8">
        <w:rPr>
          <w:rFonts w:ascii="Times New Roman" w:hAnsi="Times New Roman"/>
          <w:sz w:val="16"/>
          <w:szCs w:val="16"/>
          <w:lang w:val="en-GB"/>
        </w:rPr>
        <w:t>, 93(5)</w:t>
      </w:r>
      <w:r w:rsidR="00FB595D">
        <w:rPr>
          <w:rFonts w:ascii="Times New Roman" w:hAnsi="Times New Roman"/>
          <w:sz w:val="16"/>
          <w:szCs w:val="16"/>
          <w:lang w:val="en-GB"/>
        </w:rPr>
        <w:t>.</w:t>
      </w:r>
    </w:p>
    <w:p w:rsidR="00FB595D" w:rsidRPr="00FB595D" w:rsidRDefault="00FB595D" w:rsidP="008D7162">
      <w:pPr>
        <w:pStyle w:val="Testo1"/>
        <w:spacing w:before="0" w:line="240" w:lineRule="atLeast"/>
        <w:rPr>
          <w:rFonts w:ascii="Times New Roman" w:hAnsi="Times New Roman"/>
          <w:smallCaps/>
          <w:spacing w:val="-5"/>
          <w:sz w:val="16"/>
          <w:szCs w:val="16"/>
          <w:lang w:val="en-US"/>
        </w:rPr>
      </w:pPr>
      <w:r w:rsidRPr="00FB595D">
        <w:rPr>
          <w:rFonts w:ascii="Times New Roman" w:hAnsi="Times New Roman"/>
          <w:sz w:val="16"/>
          <w:szCs w:val="16"/>
          <w:lang w:val="en-GB"/>
        </w:rPr>
        <w:t>M. R</w:t>
      </w:r>
      <w:r w:rsidRPr="00FB595D">
        <w:rPr>
          <w:rFonts w:ascii="Times New Roman" w:hAnsi="Times New Roman"/>
          <w:smallCaps/>
          <w:sz w:val="16"/>
          <w:szCs w:val="16"/>
          <w:lang w:val="en-GB"/>
        </w:rPr>
        <w:t>abin e R. Thaler</w:t>
      </w:r>
      <w:r w:rsidRPr="00FB595D">
        <w:rPr>
          <w:rFonts w:ascii="Times New Roman" w:hAnsi="Times New Roman"/>
          <w:sz w:val="16"/>
          <w:szCs w:val="16"/>
          <w:lang w:val="en-GB"/>
        </w:rPr>
        <w:t xml:space="preserve"> (2001): “Anomalies. Risk Aversion”, </w:t>
      </w:r>
      <w:r w:rsidRPr="00FB595D">
        <w:rPr>
          <w:rFonts w:ascii="Times New Roman" w:hAnsi="Times New Roman"/>
          <w:i/>
          <w:sz w:val="16"/>
          <w:szCs w:val="16"/>
          <w:lang w:val="en-GB"/>
        </w:rPr>
        <w:t>Journal of Economic Perspectives</w:t>
      </w:r>
      <w:r w:rsidRPr="00FB595D">
        <w:rPr>
          <w:rFonts w:ascii="Times New Roman" w:hAnsi="Times New Roman"/>
          <w:sz w:val="16"/>
          <w:szCs w:val="16"/>
          <w:lang w:val="en-GB"/>
        </w:rPr>
        <w:t>, 15(1)</w:t>
      </w:r>
    </w:p>
    <w:p w:rsidR="008D7162" w:rsidRPr="00634F5D" w:rsidRDefault="00FB595D" w:rsidP="008D7162">
      <w:pPr>
        <w:pStyle w:val="Testo1"/>
        <w:spacing w:before="0" w:line="240" w:lineRule="atLeast"/>
        <w:rPr>
          <w:rFonts w:ascii="Times New Roman" w:hAnsi="Times New Roman"/>
          <w:spacing w:val="-5"/>
          <w:sz w:val="16"/>
          <w:szCs w:val="16"/>
          <w:lang w:val="en-US"/>
        </w:rPr>
      </w:pPr>
      <w:r>
        <w:rPr>
          <w:rFonts w:ascii="Times New Roman" w:hAnsi="Times New Roman"/>
          <w:smallCaps/>
          <w:spacing w:val="-5"/>
          <w:sz w:val="16"/>
          <w:szCs w:val="16"/>
          <w:lang w:val="en-US"/>
        </w:rPr>
        <w:t>N. Barberis-R. Thaler</w:t>
      </w:r>
      <w:r w:rsidR="008D7162" w:rsidRPr="00634F5D">
        <w:rPr>
          <w:rFonts w:ascii="Times New Roman" w:hAnsi="Times New Roman"/>
          <w:smallCaps/>
          <w:spacing w:val="-5"/>
          <w:sz w:val="16"/>
          <w:szCs w:val="16"/>
          <w:lang w:val="en-US"/>
        </w:rPr>
        <w:t>,</w:t>
      </w:r>
      <w:r w:rsidR="008D7162" w:rsidRPr="00634F5D">
        <w:rPr>
          <w:rFonts w:ascii="Times New Roman" w:hAnsi="Times New Roman"/>
          <w:i/>
          <w:spacing w:val="-5"/>
          <w:sz w:val="16"/>
          <w:szCs w:val="16"/>
          <w:lang w:val="en-US"/>
        </w:rPr>
        <w:t xml:space="preserve"> A Survey of Behavioral Finance,</w:t>
      </w:r>
      <w:r w:rsidR="008D7162" w:rsidRPr="00634F5D">
        <w:rPr>
          <w:rFonts w:ascii="Times New Roman" w:hAnsi="Times New Roman"/>
          <w:spacing w:val="-5"/>
          <w:sz w:val="16"/>
          <w:szCs w:val="16"/>
          <w:lang w:val="en-US"/>
        </w:rPr>
        <w:t xml:space="preserve"> in Constandinides </w:t>
      </w:r>
      <w:r w:rsidRPr="00FB595D">
        <w:rPr>
          <w:rFonts w:ascii="Times New Roman" w:hAnsi="Times New Roman"/>
          <w:i/>
          <w:spacing w:val="-5"/>
          <w:sz w:val="16"/>
          <w:szCs w:val="16"/>
          <w:lang w:val="en-US"/>
        </w:rPr>
        <w:t>et al</w:t>
      </w:r>
      <w:r w:rsidR="008D7162" w:rsidRPr="00634F5D">
        <w:rPr>
          <w:rFonts w:ascii="Times New Roman" w:hAnsi="Times New Roman"/>
          <w:spacing w:val="-5"/>
          <w:sz w:val="16"/>
          <w:szCs w:val="16"/>
          <w:lang w:val="en-US"/>
        </w:rPr>
        <w:t>, Handbook of the Economics of Finance, Vol. 1, Parte 2, Elsevier, 2003.</w:t>
      </w:r>
    </w:p>
    <w:p w:rsidR="00DF4E38" w:rsidRPr="00634F5D" w:rsidRDefault="00DF4E38" w:rsidP="008D7162">
      <w:pPr>
        <w:pStyle w:val="Testo1"/>
        <w:spacing w:before="0" w:line="240" w:lineRule="atLeast"/>
        <w:rPr>
          <w:rFonts w:ascii="Times New Roman" w:hAnsi="Times New Roman"/>
          <w:sz w:val="16"/>
          <w:szCs w:val="16"/>
          <w:lang w:val="en-GB"/>
        </w:rPr>
      </w:pPr>
      <w:r w:rsidRPr="00634F5D">
        <w:rPr>
          <w:rFonts w:ascii="Times New Roman" w:hAnsi="Times New Roman"/>
          <w:smallCaps/>
          <w:sz w:val="16"/>
          <w:szCs w:val="16"/>
          <w:lang w:val="en-GB"/>
        </w:rPr>
        <w:lastRenderedPageBreak/>
        <w:t>N. Barberis: “T</w:t>
      </w:r>
      <w:r w:rsidRPr="00634F5D">
        <w:rPr>
          <w:rFonts w:ascii="Times New Roman" w:hAnsi="Times New Roman"/>
          <w:sz w:val="16"/>
          <w:szCs w:val="16"/>
          <w:lang w:val="en-GB"/>
        </w:rPr>
        <w:t xml:space="preserve">hirty Years of Prospect Theory in Economics: A Review and Assessment’’, </w:t>
      </w:r>
      <w:r w:rsidRPr="00634F5D">
        <w:rPr>
          <w:rFonts w:ascii="Times New Roman" w:hAnsi="Times New Roman"/>
          <w:i/>
          <w:sz w:val="16"/>
          <w:szCs w:val="16"/>
          <w:lang w:val="en-GB"/>
        </w:rPr>
        <w:t>Journal of Economic Perspectives</w:t>
      </w:r>
      <w:r w:rsidRPr="00634F5D">
        <w:rPr>
          <w:rFonts w:ascii="Times New Roman" w:hAnsi="Times New Roman"/>
          <w:sz w:val="16"/>
          <w:szCs w:val="16"/>
          <w:lang w:val="en-GB"/>
        </w:rPr>
        <w:t>, 27(1)</w:t>
      </w:r>
      <w:r w:rsidR="00FB595D">
        <w:rPr>
          <w:rFonts w:ascii="Times New Roman" w:hAnsi="Times New Roman"/>
          <w:sz w:val="16"/>
          <w:szCs w:val="16"/>
          <w:lang w:val="en-GB"/>
        </w:rPr>
        <w:t>,</w:t>
      </w:r>
      <w:r w:rsidRPr="00634F5D">
        <w:rPr>
          <w:rFonts w:ascii="Times New Roman" w:hAnsi="Times New Roman"/>
          <w:sz w:val="16"/>
          <w:szCs w:val="16"/>
          <w:lang w:val="en-GB"/>
        </w:rPr>
        <w:t xml:space="preserve"> </w:t>
      </w:r>
      <w:r w:rsidRPr="00634F5D">
        <w:rPr>
          <w:rFonts w:ascii="Times New Roman" w:hAnsi="Times New Roman"/>
          <w:smallCaps/>
          <w:sz w:val="16"/>
          <w:szCs w:val="16"/>
          <w:lang w:val="en-GB"/>
        </w:rPr>
        <w:t>2013</w:t>
      </w:r>
    </w:p>
    <w:p w:rsidR="008D7162" w:rsidRPr="00634F5D" w:rsidRDefault="008D7162" w:rsidP="008D7162">
      <w:pPr>
        <w:pStyle w:val="Testo1"/>
        <w:spacing w:before="0" w:line="240" w:lineRule="atLeast"/>
        <w:rPr>
          <w:rFonts w:ascii="Times New Roman" w:hAnsi="Times New Roman"/>
          <w:spacing w:val="-5"/>
          <w:sz w:val="16"/>
          <w:szCs w:val="16"/>
          <w:lang w:val="en-US"/>
        </w:rPr>
      </w:pPr>
      <w:r w:rsidRPr="00634F5D">
        <w:rPr>
          <w:rFonts w:ascii="Times New Roman" w:hAnsi="Times New Roman"/>
          <w:smallCaps/>
          <w:spacing w:val="-5"/>
          <w:sz w:val="16"/>
          <w:szCs w:val="16"/>
          <w:lang w:val="en-US"/>
        </w:rPr>
        <w:t>D. Kahneman-M.K. Riepe,</w:t>
      </w:r>
      <w:r w:rsidRPr="00634F5D">
        <w:rPr>
          <w:rFonts w:ascii="Times New Roman" w:hAnsi="Times New Roman"/>
          <w:i/>
          <w:spacing w:val="-5"/>
          <w:sz w:val="16"/>
          <w:szCs w:val="16"/>
          <w:lang w:val="en-US"/>
        </w:rPr>
        <w:t xml:space="preserve"> Aspects of Investor Psychology,</w:t>
      </w:r>
      <w:r w:rsidRPr="00634F5D">
        <w:rPr>
          <w:rFonts w:ascii="Times New Roman" w:hAnsi="Times New Roman"/>
          <w:spacing w:val="-5"/>
          <w:sz w:val="16"/>
          <w:szCs w:val="16"/>
          <w:lang w:val="en-US"/>
        </w:rPr>
        <w:t xml:space="preserve"> Journal of Portfolio Manager, 24(4), 1998.</w:t>
      </w:r>
    </w:p>
    <w:p w:rsidR="008D7162" w:rsidRDefault="00FB595D" w:rsidP="008D7162">
      <w:pPr>
        <w:pStyle w:val="Testo1"/>
        <w:spacing w:before="0" w:line="240" w:lineRule="atLeast"/>
      </w:pPr>
      <w:r>
        <w:rPr>
          <w:rFonts w:cs="Times"/>
        </w:rPr>
        <w:t>È possibile che nel 2022 pubblichi una versione rivista nella forma e decisamente ampliata nei contenuti dei primi due volumi, sempre con Giappichelli.</w:t>
      </w:r>
    </w:p>
    <w:p w:rsidR="008D7162" w:rsidRDefault="008D7162" w:rsidP="008D7162">
      <w:pPr>
        <w:spacing w:before="240" w:after="120"/>
        <w:rPr>
          <w:b/>
          <w:i/>
          <w:sz w:val="18"/>
        </w:rPr>
      </w:pPr>
      <w:r>
        <w:rPr>
          <w:b/>
          <w:i/>
          <w:sz w:val="18"/>
        </w:rPr>
        <w:t>DIDATTICA DEL CORSO</w:t>
      </w:r>
    </w:p>
    <w:p w:rsidR="008D7162" w:rsidRPr="00F31276" w:rsidRDefault="008D7162" w:rsidP="008D7162">
      <w:pPr>
        <w:pStyle w:val="Testo2"/>
      </w:pPr>
      <w:r w:rsidRPr="00F31276">
        <w:t>Lezioni ed esercitazioni frontali, in aula didattica e in aula informatica, con utilizzo del software Microsoft Excel e dell’</w:t>
      </w:r>
      <w:r w:rsidRPr="006C6725">
        <w:rPr>
          <w:i/>
        </w:rPr>
        <w:t>add-in</w:t>
      </w:r>
      <w:r w:rsidRPr="00F31276">
        <w:t xml:space="preserve"> Simtools.</w:t>
      </w:r>
    </w:p>
    <w:p w:rsidR="008D7162" w:rsidRDefault="008D7162" w:rsidP="008D7162">
      <w:pPr>
        <w:spacing w:before="240" w:after="120"/>
        <w:rPr>
          <w:b/>
          <w:i/>
          <w:sz w:val="18"/>
        </w:rPr>
      </w:pPr>
      <w:r>
        <w:rPr>
          <w:b/>
          <w:i/>
          <w:sz w:val="18"/>
        </w:rPr>
        <w:t>METODO E CRITERI DI VALUTAZIONE</w:t>
      </w:r>
    </w:p>
    <w:p w:rsidR="008D7162" w:rsidRPr="00476B57" w:rsidRDefault="008D7162" w:rsidP="008D7162">
      <w:pPr>
        <w:pStyle w:val="Testo2"/>
        <w:rPr>
          <w:szCs w:val="18"/>
        </w:rPr>
      </w:pPr>
      <w:r w:rsidRPr="00F31276">
        <w:t>L’esame è composto da (i) una prova scritta della durata di 90 minu</w:t>
      </w:r>
      <w:r>
        <w:t>ti, nella quale lo studente dovrà</w:t>
      </w:r>
      <w:r w:rsidRPr="00F31276">
        <w:t xml:space="preserve"> dimostrare di aver compreso gli argomenti teorici esposti durante il corso, anche mediante la risoluzione di esercizi numerici simili a quelli risolti in classe e/o assegnati, e di essere in grado di utilizzare quanto appreso per discutere con cognizione di causa fenomeni economici-finanziari non espressamente trattati durante il corso</w:t>
      </w:r>
      <w:r>
        <w:t>. Sia S il voto ottenuto in tale prova</w:t>
      </w:r>
      <w:r w:rsidRPr="00F31276">
        <w:t xml:space="preserve">; (ii) una prova in aula informatica </w:t>
      </w:r>
      <w:r>
        <w:t xml:space="preserve">(opzionale) </w:t>
      </w:r>
      <w:r w:rsidRPr="00F31276">
        <w:t xml:space="preserve">della durata di </w:t>
      </w:r>
      <w:r w:rsidR="004671EA">
        <w:t>60</w:t>
      </w:r>
      <w:r w:rsidRPr="00F31276">
        <w:t xml:space="preserve"> minu</w:t>
      </w:r>
      <w:r>
        <w:t>ti, nella quale lo studente dovrà</w:t>
      </w:r>
      <w:r w:rsidRPr="00F31276">
        <w:t xml:space="preserve"> dimostrare di essere in grado di utilizzare Excel e Simtools per calcolare probabilità, identificare il portafoglio ottimo e, più in generale, analizzare dati finanziari.</w:t>
      </w:r>
      <w:r>
        <w:t xml:space="preserve"> Sia E il voto ottenuto in tale prova. </w:t>
      </w:r>
      <w:r w:rsidRPr="00476B57">
        <w:rPr>
          <w:szCs w:val="18"/>
        </w:rPr>
        <w:t>Il voto finale</w:t>
      </w:r>
      <w:r>
        <w:rPr>
          <w:szCs w:val="18"/>
        </w:rPr>
        <w:t xml:space="preserve"> </w:t>
      </w:r>
      <w:r w:rsidRPr="00476B57">
        <w:rPr>
          <w:szCs w:val="18"/>
        </w:rPr>
        <w:t xml:space="preserve">sarà </w:t>
      </w:r>
      <w:r>
        <w:rPr>
          <w:szCs w:val="18"/>
        </w:rPr>
        <w:t>V = 0,80*S</w:t>
      </w:r>
      <w:r w:rsidRPr="00476B57">
        <w:rPr>
          <w:szCs w:val="18"/>
        </w:rPr>
        <w:t xml:space="preserve"> + 0,23333</w:t>
      </w:r>
      <w:r>
        <w:rPr>
          <w:szCs w:val="18"/>
        </w:rPr>
        <w:t>*</w:t>
      </w:r>
      <w:r w:rsidRPr="00476B57">
        <w:rPr>
          <w:szCs w:val="18"/>
        </w:rPr>
        <w:t xml:space="preserve">E </w:t>
      </w:r>
      <w:r>
        <w:rPr>
          <w:szCs w:val="18"/>
        </w:rPr>
        <w:t>(arrotondato al numero intero più vicino) se lo studente sostiene entrambe le prove e V = 0,92222*S (arrotondato al numero intero più vicino) se sostiene solo la prima prova.</w:t>
      </w:r>
    </w:p>
    <w:p w:rsidR="008D7162" w:rsidRDefault="008D7162" w:rsidP="008D7162">
      <w:pPr>
        <w:pStyle w:val="Testo2"/>
        <w:rPr>
          <w:szCs w:val="18"/>
        </w:rPr>
      </w:pPr>
      <w:r w:rsidRPr="00F31276">
        <w:t>È prevista la possibilità di superare l’esame anche mediante</w:t>
      </w:r>
      <w:r>
        <w:t xml:space="preserve"> prove intermedie</w:t>
      </w:r>
      <w:r w:rsidR="004671EA">
        <w:t xml:space="preserve"> scritte</w:t>
      </w:r>
      <w:r>
        <w:t>. La prima</w:t>
      </w:r>
      <w:r w:rsidRPr="00F31276">
        <w:t xml:space="preserve"> prova </w:t>
      </w:r>
      <w:r>
        <w:t>(voto I1)</w:t>
      </w:r>
      <w:r w:rsidRPr="00F31276">
        <w:t xml:space="preserve"> avrà luogo durante la settima settimana del corso</w:t>
      </w:r>
      <w:r w:rsidR="004671EA">
        <w:t xml:space="preserve">, </w:t>
      </w:r>
      <w:r>
        <w:t>mentre la seconda (voto I2)</w:t>
      </w:r>
      <w:r w:rsidRPr="00F31276">
        <w:t xml:space="preserve"> </w:t>
      </w:r>
      <w:r w:rsidR="004671EA">
        <w:t>dovrà</w:t>
      </w:r>
      <w:r w:rsidRPr="00F31276">
        <w:t xml:space="preserve"> essere sostenuta</w:t>
      </w:r>
      <w:r w:rsidR="004671EA">
        <w:t xml:space="preserve"> </w:t>
      </w:r>
      <w:r w:rsidRPr="00F31276">
        <w:t>nel primo appello dell</w:t>
      </w:r>
      <w:r>
        <w:t>a sessione di giugno 202</w:t>
      </w:r>
      <w:r w:rsidR="004671EA">
        <w:t xml:space="preserve">2. Entrambe le prove avranno una durata di </w:t>
      </w:r>
      <w:r>
        <w:t>75 minuti</w:t>
      </w:r>
      <w:r w:rsidRPr="00F31276">
        <w:t>.</w:t>
      </w:r>
      <w:r>
        <w:t xml:space="preserve"> I contenuti delle due prove sono descritti nel punto (i) di cui sopra. Lo studente che si avvalga di questa opzione dovrà necessariamente sostenere anche la prova in aula informatica, descritta nel punto (ii) di cui sopra (voto E), a sua scelta, </w:t>
      </w:r>
      <w:r w:rsidRPr="00F31276">
        <w:t>nel primo oppure nel secondo appello dell</w:t>
      </w:r>
      <w:r>
        <w:t>a sessione di giugno/luglio 202</w:t>
      </w:r>
      <w:r w:rsidR="004671EA">
        <w:t>2</w:t>
      </w:r>
      <w:r>
        <w:t xml:space="preserve">. Il voto finale </w:t>
      </w:r>
      <w:r w:rsidRPr="00476B57">
        <w:rPr>
          <w:szCs w:val="18"/>
        </w:rPr>
        <w:t xml:space="preserve">sarà </w:t>
      </w:r>
      <w:r>
        <w:rPr>
          <w:szCs w:val="18"/>
        </w:rPr>
        <w:t>V = 0,40*I1+0,40*I2</w:t>
      </w:r>
      <w:r w:rsidRPr="00476B57">
        <w:rPr>
          <w:szCs w:val="18"/>
        </w:rPr>
        <w:t xml:space="preserve"> + 0,2</w:t>
      </w:r>
      <w:r>
        <w:rPr>
          <w:szCs w:val="18"/>
        </w:rPr>
        <w:t>6666*</w:t>
      </w:r>
      <w:r w:rsidRPr="00476B57">
        <w:rPr>
          <w:szCs w:val="18"/>
        </w:rPr>
        <w:t>E</w:t>
      </w:r>
      <w:r>
        <w:rPr>
          <w:szCs w:val="18"/>
        </w:rPr>
        <w:t xml:space="preserve"> (arrotondato al numero intero più vicino).</w:t>
      </w:r>
    </w:p>
    <w:p w:rsidR="008D7162" w:rsidRDefault="008D7162" w:rsidP="008D7162">
      <w:pPr>
        <w:spacing w:before="240" w:after="120" w:line="240" w:lineRule="exact"/>
        <w:rPr>
          <w:b/>
          <w:i/>
          <w:sz w:val="18"/>
        </w:rPr>
      </w:pPr>
      <w:r>
        <w:rPr>
          <w:b/>
          <w:i/>
          <w:sz w:val="18"/>
        </w:rPr>
        <w:t>AVVERTENZE E PREREQUISITI</w:t>
      </w:r>
    </w:p>
    <w:p w:rsidR="008D7162" w:rsidRPr="00F31276" w:rsidRDefault="008D7162" w:rsidP="008D7162">
      <w:pPr>
        <w:tabs>
          <w:tab w:val="clear" w:pos="284"/>
        </w:tabs>
        <w:ind w:firstLine="284"/>
        <w:rPr>
          <w:rFonts w:ascii="Times" w:hAnsi="Times"/>
          <w:noProof/>
          <w:sz w:val="18"/>
          <w:szCs w:val="20"/>
        </w:rPr>
      </w:pPr>
      <w:r w:rsidRPr="00F31276">
        <w:rPr>
          <w:rFonts w:ascii="Times" w:hAnsi="Times"/>
          <w:noProof/>
          <w:sz w:val="18"/>
          <w:szCs w:val="20"/>
        </w:rPr>
        <w:t xml:space="preserve">Il corso prevede un utilizzo esteso di concetti economici, matematici e statistici trattati </w:t>
      </w:r>
      <w:r>
        <w:rPr>
          <w:rFonts w:ascii="Times" w:hAnsi="Times"/>
          <w:noProof/>
          <w:sz w:val="18"/>
          <w:szCs w:val="20"/>
        </w:rPr>
        <w:t>nei corsi di Economia Politica (Microeconomia)</w:t>
      </w:r>
      <w:r w:rsidRPr="00F31276">
        <w:rPr>
          <w:rFonts w:ascii="Times" w:hAnsi="Times"/>
          <w:noProof/>
          <w:sz w:val="18"/>
          <w:szCs w:val="20"/>
        </w:rPr>
        <w:t xml:space="preserve">, Matematica Generale e Statistica I della laurea triennale. In particolare, si presuppone che gli studenti conoscano le regole principali dell’algebra, sappiano calcolare le derivate di funzioni polinomiali e logaritmiche, siano in grado di individuare il massimo e il minimo di una funzione di una variabile, abbiano una buona dimestichezza con i concetti di probabilità, probabilità condizionata, </w:t>
      </w:r>
      <w:r w:rsidR="004671EA">
        <w:rPr>
          <w:rFonts w:ascii="Times" w:hAnsi="Times"/>
          <w:noProof/>
          <w:sz w:val="18"/>
          <w:szCs w:val="20"/>
        </w:rPr>
        <w:t>teorema</w:t>
      </w:r>
      <w:r w:rsidRPr="00F31276">
        <w:rPr>
          <w:rFonts w:ascii="Times" w:hAnsi="Times"/>
          <w:noProof/>
          <w:sz w:val="18"/>
          <w:szCs w:val="20"/>
        </w:rPr>
        <w:t xml:space="preserve"> di Bayes, varianza, covarianza e coefficiente di correlazione. Ancorché utile, non è invece richiesta una conoscenza del software Microsoft Excel.</w:t>
      </w:r>
    </w:p>
    <w:p w:rsidR="008D7162" w:rsidRDefault="008D7162" w:rsidP="008D7162">
      <w:pPr>
        <w:tabs>
          <w:tab w:val="clear" w:pos="284"/>
        </w:tabs>
        <w:ind w:firstLine="284"/>
        <w:rPr>
          <w:rFonts w:ascii="Times" w:hAnsi="Times"/>
          <w:noProof/>
          <w:sz w:val="18"/>
          <w:szCs w:val="20"/>
        </w:rPr>
      </w:pPr>
      <w:r w:rsidRPr="00F31276">
        <w:rPr>
          <w:rFonts w:ascii="Times" w:hAnsi="Times"/>
          <w:noProof/>
          <w:sz w:val="18"/>
          <w:szCs w:val="20"/>
        </w:rPr>
        <w:lastRenderedPageBreak/>
        <w:t>La frequenza assidua e attiva al corso è fondamentale per un’assimilazione graduale dei concetti illustrati e della strumentazione analitica utilizzata ed è per</w:t>
      </w:r>
      <w:r w:rsidR="005B6B1D">
        <w:rPr>
          <w:rFonts w:ascii="Times" w:hAnsi="Times"/>
          <w:noProof/>
          <w:sz w:val="18"/>
          <w:szCs w:val="20"/>
        </w:rPr>
        <w:t>tanto assolutamente consigliata.</w:t>
      </w:r>
    </w:p>
    <w:p w:rsidR="005B6B1D" w:rsidRDefault="005B6B1D" w:rsidP="005B6B1D">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5B6B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88" w:rsidRDefault="004F0D88" w:rsidP="004F0D88">
      <w:pPr>
        <w:spacing w:line="240" w:lineRule="auto"/>
      </w:pPr>
      <w:r>
        <w:separator/>
      </w:r>
    </w:p>
  </w:endnote>
  <w:endnote w:type="continuationSeparator" w:id="0">
    <w:p w:rsidR="004F0D88" w:rsidRDefault="004F0D88" w:rsidP="004F0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88" w:rsidRDefault="004F0D88" w:rsidP="004F0D88">
      <w:pPr>
        <w:spacing w:line="240" w:lineRule="auto"/>
      </w:pPr>
      <w:r>
        <w:separator/>
      </w:r>
    </w:p>
  </w:footnote>
  <w:footnote w:type="continuationSeparator" w:id="0">
    <w:p w:rsidR="004F0D88" w:rsidRDefault="004F0D88" w:rsidP="004F0D88">
      <w:pPr>
        <w:spacing w:line="240" w:lineRule="auto"/>
      </w:pPr>
      <w:r>
        <w:continuationSeparator/>
      </w:r>
    </w:p>
  </w:footnote>
  <w:footnote w:id="1">
    <w:p w:rsidR="004F0D88" w:rsidRDefault="004F0D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6223"/>
    <w:multiLevelType w:val="hybridMultilevel"/>
    <w:tmpl w:val="71FC4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62"/>
    <w:rsid w:val="00026047"/>
    <w:rsid w:val="00122EAD"/>
    <w:rsid w:val="00187B99"/>
    <w:rsid w:val="002014DD"/>
    <w:rsid w:val="00221CDA"/>
    <w:rsid w:val="00285171"/>
    <w:rsid w:val="002D263E"/>
    <w:rsid w:val="002D5E17"/>
    <w:rsid w:val="00325E63"/>
    <w:rsid w:val="004671EA"/>
    <w:rsid w:val="004D1217"/>
    <w:rsid w:val="004D6008"/>
    <w:rsid w:val="004F0D88"/>
    <w:rsid w:val="00530C94"/>
    <w:rsid w:val="005B6B1D"/>
    <w:rsid w:val="00633D32"/>
    <w:rsid w:val="00634F5D"/>
    <w:rsid w:val="00640794"/>
    <w:rsid w:val="006F1772"/>
    <w:rsid w:val="00741224"/>
    <w:rsid w:val="008942E7"/>
    <w:rsid w:val="008A1204"/>
    <w:rsid w:val="008D7162"/>
    <w:rsid w:val="00900CCA"/>
    <w:rsid w:val="00924B77"/>
    <w:rsid w:val="00940DA2"/>
    <w:rsid w:val="009E055C"/>
    <w:rsid w:val="00A50AF4"/>
    <w:rsid w:val="00A74F6F"/>
    <w:rsid w:val="00AD7557"/>
    <w:rsid w:val="00B50C5D"/>
    <w:rsid w:val="00B51253"/>
    <w:rsid w:val="00B525CC"/>
    <w:rsid w:val="00B8779E"/>
    <w:rsid w:val="00C002A8"/>
    <w:rsid w:val="00C61C9F"/>
    <w:rsid w:val="00D404F2"/>
    <w:rsid w:val="00D73765"/>
    <w:rsid w:val="00DF4E38"/>
    <w:rsid w:val="00E607E6"/>
    <w:rsid w:val="00E74D6E"/>
    <w:rsid w:val="00F00F05"/>
    <w:rsid w:val="00FB5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7162"/>
    <w:pPr>
      <w:spacing w:line="240" w:lineRule="exact"/>
      <w:ind w:left="720"/>
      <w:contextualSpacing/>
    </w:pPr>
  </w:style>
  <w:style w:type="paragraph" w:styleId="Testonotaapidipagina">
    <w:name w:val="footnote text"/>
    <w:basedOn w:val="Normale"/>
    <w:link w:val="TestonotaapidipaginaCarattere"/>
    <w:rsid w:val="004F0D88"/>
    <w:pPr>
      <w:spacing w:line="240" w:lineRule="auto"/>
    </w:pPr>
    <w:rPr>
      <w:szCs w:val="20"/>
    </w:rPr>
  </w:style>
  <w:style w:type="character" w:customStyle="1" w:styleId="TestonotaapidipaginaCarattere">
    <w:name w:val="Testo nota a piè di pagina Carattere"/>
    <w:basedOn w:val="Carpredefinitoparagrafo"/>
    <w:link w:val="Testonotaapidipagina"/>
    <w:rsid w:val="004F0D88"/>
  </w:style>
  <w:style w:type="character" w:styleId="Rimandonotaapidipagina">
    <w:name w:val="footnote reference"/>
    <w:basedOn w:val="Carpredefinitoparagrafo"/>
    <w:rsid w:val="004F0D88"/>
    <w:rPr>
      <w:vertAlign w:val="superscript"/>
    </w:rPr>
  </w:style>
  <w:style w:type="character" w:styleId="Collegamentoipertestuale">
    <w:name w:val="Hyperlink"/>
    <w:basedOn w:val="Carpredefinitoparagrafo"/>
    <w:rsid w:val="004F0D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7162"/>
    <w:pPr>
      <w:spacing w:line="240" w:lineRule="exact"/>
      <w:ind w:left="720"/>
      <w:contextualSpacing/>
    </w:pPr>
  </w:style>
  <w:style w:type="paragraph" w:styleId="Testonotaapidipagina">
    <w:name w:val="footnote text"/>
    <w:basedOn w:val="Normale"/>
    <w:link w:val="TestonotaapidipaginaCarattere"/>
    <w:rsid w:val="004F0D88"/>
    <w:pPr>
      <w:spacing w:line="240" w:lineRule="auto"/>
    </w:pPr>
    <w:rPr>
      <w:szCs w:val="20"/>
    </w:rPr>
  </w:style>
  <w:style w:type="character" w:customStyle="1" w:styleId="TestonotaapidipaginaCarattere">
    <w:name w:val="Testo nota a piè di pagina Carattere"/>
    <w:basedOn w:val="Carpredefinitoparagrafo"/>
    <w:link w:val="Testonotaapidipagina"/>
    <w:rsid w:val="004F0D88"/>
  </w:style>
  <w:style w:type="character" w:styleId="Rimandonotaapidipagina">
    <w:name w:val="footnote reference"/>
    <w:basedOn w:val="Carpredefinitoparagrafo"/>
    <w:rsid w:val="004F0D88"/>
    <w:rPr>
      <w:vertAlign w:val="superscript"/>
    </w:rPr>
  </w:style>
  <w:style w:type="character" w:styleId="Collegamentoipertestuale">
    <w:name w:val="Hyperlink"/>
    <w:basedOn w:val="Carpredefinitoparagrafo"/>
    <w:rsid w:val="004F0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ferdinando-colombo/rischio-informazione-equilibrio-esercizi-di-economia-finanziaria-9788892138001-693355.html" TargetMode="External"/><Relationship Id="rId4" Type="http://schemas.microsoft.com/office/2007/relationships/stylesWithEffects" Target="stylesWithEffects.xml"/><Relationship Id="rId9" Type="http://schemas.openxmlformats.org/officeDocument/2006/relationships/hyperlink" Target="https://librerie.unicatt.it/scheda-libro/ferdinando-colombo/fondamenti-di-economia-finanziaria-9788892137998-6940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9884-B4FA-4105-8024-BF8243BA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1157</Words>
  <Characters>7328</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2021-05-14T13:51:00Z</dcterms:created>
  <dcterms:modified xsi:type="dcterms:W3CDTF">2021-06-29T12:07:00Z</dcterms:modified>
</cp:coreProperties>
</file>