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068B8" w14:textId="77777777" w:rsidR="00187D80" w:rsidRPr="00E74527" w:rsidRDefault="00187D80" w:rsidP="00956849">
      <w:pPr>
        <w:pStyle w:val="Titolo1"/>
        <w:rPr>
          <w:rFonts w:ascii="Times New Roman" w:hAnsi="Times New Roman"/>
        </w:rPr>
      </w:pPr>
      <w:r w:rsidRPr="00E74527">
        <w:rPr>
          <w:rFonts w:ascii="Times New Roman" w:hAnsi="Times New Roman"/>
        </w:rPr>
        <w:t>Metodologie e determinazioni quantitative d’azienda (bilancio consolidato e analisi di bilancio) (Laurea in Direzione e consulenza aziendale)</w:t>
      </w:r>
    </w:p>
    <w:p w14:paraId="7E7E373A" w14:textId="77777777" w:rsidR="00F07BF8" w:rsidRPr="008F130E" w:rsidRDefault="00187D80" w:rsidP="008F130E">
      <w:pPr>
        <w:pStyle w:val="Titolo2"/>
        <w:rPr>
          <w:rFonts w:ascii="Times New Roman" w:hAnsi="Times New Roman"/>
        </w:rPr>
      </w:pPr>
      <w:r w:rsidRPr="00E74527">
        <w:rPr>
          <w:rFonts w:ascii="Times New Roman" w:hAnsi="Times New Roman"/>
        </w:rPr>
        <w:t>Prof. Francesco Lenoci; Prof. Claudio Sottoriva</w:t>
      </w:r>
    </w:p>
    <w:p w14:paraId="4B19AAD9" w14:textId="77777777" w:rsidR="00956849" w:rsidRPr="00E74527" w:rsidRDefault="00956849" w:rsidP="00956849">
      <w:pPr>
        <w:spacing w:before="240" w:after="120"/>
        <w:rPr>
          <w:rFonts w:eastAsia="Calibri"/>
          <w:b/>
          <w:sz w:val="18"/>
          <w:lang w:eastAsia="en-US"/>
        </w:rPr>
      </w:pPr>
      <w:r w:rsidRPr="00E74527">
        <w:rPr>
          <w:rFonts w:eastAsia="Calibri"/>
          <w:b/>
          <w:i/>
          <w:sz w:val="18"/>
          <w:lang w:eastAsia="en-US"/>
        </w:rPr>
        <w:t>OBIETTIVO DEL CORSO</w:t>
      </w:r>
      <w:r w:rsidR="00F07BF8" w:rsidRPr="00E74527">
        <w:rPr>
          <w:rFonts w:eastAsia="Calibri"/>
          <w:b/>
          <w:i/>
          <w:sz w:val="18"/>
          <w:lang w:eastAsia="en-US"/>
        </w:rPr>
        <w:t xml:space="preserve"> E RISULTATI DI APPRENDIMENTO ATTESI</w:t>
      </w:r>
    </w:p>
    <w:p w14:paraId="32BC2D8F" w14:textId="77777777" w:rsidR="00187D80" w:rsidRPr="00E74527" w:rsidRDefault="00187D80" w:rsidP="00187D80">
      <w:pPr>
        <w:rPr>
          <w:rFonts w:eastAsia="Calibri"/>
          <w:lang w:eastAsia="en-US"/>
        </w:rPr>
      </w:pPr>
      <w:r w:rsidRPr="00E74527">
        <w:rPr>
          <w:rFonts w:eastAsia="Calibri"/>
          <w:lang w:eastAsia="en-US"/>
        </w:rPr>
        <w:t xml:space="preserve">Il corso è suddiviso in due parti: la prima formata dai moduli 1 e 2 (Prof. Claudio </w:t>
      </w:r>
      <w:proofErr w:type="spellStart"/>
      <w:r w:rsidRPr="00E74527">
        <w:rPr>
          <w:rFonts w:eastAsia="Calibri"/>
          <w:lang w:eastAsia="en-US"/>
        </w:rPr>
        <w:t>Sottoriva</w:t>
      </w:r>
      <w:proofErr w:type="spellEnd"/>
      <w:r w:rsidRPr="00E74527">
        <w:rPr>
          <w:rFonts w:eastAsia="Calibri"/>
          <w:lang w:eastAsia="en-US"/>
        </w:rPr>
        <w:t xml:space="preserve">) e la seconda parte formata dai moduli 3, 4, 5 e 6 (Prof. Francesco </w:t>
      </w:r>
      <w:proofErr w:type="spellStart"/>
      <w:r w:rsidRPr="00E74527">
        <w:rPr>
          <w:rFonts w:eastAsia="Calibri"/>
          <w:lang w:eastAsia="en-US"/>
        </w:rPr>
        <w:t>Len</w:t>
      </w:r>
      <w:r w:rsidRPr="00E74527">
        <w:rPr>
          <w:rFonts w:eastAsia="Calibri"/>
          <w:lang w:eastAsia="en-US"/>
        </w:rPr>
        <w:t>o</w:t>
      </w:r>
      <w:r w:rsidRPr="00E74527">
        <w:rPr>
          <w:rFonts w:eastAsia="Calibri"/>
          <w:lang w:eastAsia="en-US"/>
        </w:rPr>
        <w:t>ci</w:t>
      </w:r>
      <w:proofErr w:type="spellEnd"/>
      <w:r w:rsidRPr="00E74527">
        <w:rPr>
          <w:rFonts w:eastAsia="Calibri"/>
          <w:lang w:eastAsia="en-US"/>
        </w:rPr>
        <w:t>).</w:t>
      </w:r>
    </w:p>
    <w:p w14:paraId="782CA1E9" w14:textId="77777777" w:rsidR="00187D80" w:rsidRPr="00E74527" w:rsidRDefault="00187D80" w:rsidP="00187D80">
      <w:pPr>
        <w:rPr>
          <w:rFonts w:eastAsia="Calibri"/>
          <w:lang w:eastAsia="en-US"/>
        </w:rPr>
      </w:pPr>
      <w:r w:rsidRPr="00E74527">
        <w:rPr>
          <w:rFonts w:eastAsia="Calibri"/>
          <w:lang w:eastAsia="en-US"/>
        </w:rPr>
        <w:t>La prima parte del corso ha come finalità teorica e pratica l’analisi per indici e flussi della dimensione patrimoniale-economico-finanziaria della gestione aziend</w:t>
      </w:r>
      <w:r w:rsidRPr="00E74527">
        <w:rPr>
          <w:rFonts w:eastAsia="Calibri"/>
          <w:lang w:eastAsia="en-US"/>
        </w:rPr>
        <w:t>a</w:t>
      </w:r>
      <w:r w:rsidRPr="00E74527">
        <w:rPr>
          <w:rFonts w:eastAsia="Calibri"/>
          <w:lang w:eastAsia="en-US"/>
        </w:rPr>
        <w:t>le, attraverso la rielaborazione delle informazioni contenute nel bilancio di eserc</w:t>
      </w:r>
      <w:r w:rsidRPr="00E74527">
        <w:rPr>
          <w:rFonts w:eastAsia="Calibri"/>
          <w:lang w:eastAsia="en-US"/>
        </w:rPr>
        <w:t>i</w:t>
      </w:r>
      <w:r w:rsidRPr="00E74527">
        <w:rPr>
          <w:rFonts w:eastAsia="Calibri"/>
          <w:lang w:eastAsia="en-US"/>
        </w:rPr>
        <w:t>zio. In particolare, nel corso della prima parte saranno affrontatati i seguenti arg</w:t>
      </w:r>
      <w:r w:rsidRPr="00E74527">
        <w:rPr>
          <w:rFonts w:eastAsia="Calibri"/>
          <w:lang w:eastAsia="en-US"/>
        </w:rPr>
        <w:t>o</w:t>
      </w:r>
      <w:r w:rsidRPr="00E74527">
        <w:rPr>
          <w:rFonts w:eastAsia="Calibri"/>
          <w:lang w:eastAsia="en-US"/>
        </w:rPr>
        <w:t>menti: gli obiettivi e le prospettive dell’analisi di bilancio; i criteri di analisi della gestione e delle altre operazioni; la riclassificazione dello stato patrimoniale; la r</w:t>
      </w:r>
      <w:r w:rsidRPr="00E74527">
        <w:rPr>
          <w:rFonts w:eastAsia="Calibri"/>
          <w:lang w:eastAsia="en-US"/>
        </w:rPr>
        <w:t>i</w:t>
      </w:r>
      <w:r w:rsidRPr="00E74527">
        <w:rPr>
          <w:rFonts w:eastAsia="Calibri"/>
          <w:lang w:eastAsia="en-US"/>
        </w:rPr>
        <w:t>classificazione del conto economico; le informazioni rilevanti per l’analisi della strategia perseguita nelle singole aree di affari in cui si articola la gestione tipica; le informazioni rilevanti per l’analisi delle strategie finanziarie; l’analisi di bilancio attraverso gli indici e i flussi.</w:t>
      </w:r>
    </w:p>
    <w:p w14:paraId="634C551D" w14:textId="77777777" w:rsidR="00187D80" w:rsidRPr="00E74527" w:rsidRDefault="00187D80" w:rsidP="00187D80">
      <w:pPr>
        <w:rPr>
          <w:rFonts w:eastAsia="Calibri"/>
          <w:lang w:eastAsia="en-US"/>
        </w:rPr>
      </w:pPr>
      <w:r w:rsidRPr="00E74527">
        <w:rPr>
          <w:rFonts w:eastAsia="Calibri"/>
          <w:lang w:eastAsia="en-US"/>
        </w:rPr>
        <w:t>La seconda parte del corso fornisce le conoscenze teoriche e pratiche necessarie per la redazione del bilancio consolidato di gruppo, affrontando le principali pr</w:t>
      </w:r>
      <w:r w:rsidRPr="00E74527">
        <w:rPr>
          <w:rFonts w:eastAsia="Calibri"/>
          <w:lang w:eastAsia="en-US"/>
        </w:rPr>
        <w:t>o</w:t>
      </w:r>
      <w:r w:rsidRPr="00E74527">
        <w:rPr>
          <w:rFonts w:eastAsia="Calibri"/>
          <w:lang w:eastAsia="en-US"/>
        </w:rPr>
        <w:t>blematiche di costruzione e di interpretazione di tale documento. Nel corso della seconda parte saranno affrontati in particolare i seguenti argomenti: il bilancio co</w:t>
      </w:r>
      <w:r w:rsidRPr="00E74527">
        <w:rPr>
          <w:rFonts w:eastAsia="Calibri"/>
          <w:lang w:eastAsia="en-US"/>
        </w:rPr>
        <w:t>n</w:t>
      </w:r>
      <w:r w:rsidRPr="00E74527">
        <w:rPr>
          <w:rFonts w:eastAsia="Calibri"/>
          <w:lang w:eastAsia="en-US"/>
        </w:rPr>
        <w:t>solidato (area di consolidamento; omogeneizzazione dei bilanci; struttura e cont</w:t>
      </w:r>
      <w:r w:rsidRPr="00E74527">
        <w:rPr>
          <w:rFonts w:eastAsia="Calibri"/>
          <w:lang w:eastAsia="en-US"/>
        </w:rPr>
        <w:t>e</w:t>
      </w:r>
      <w:r w:rsidRPr="00E74527">
        <w:rPr>
          <w:rFonts w:eastAsia="Calibri"/>
          <w:lang w:eastAsia="en-US"/>
        </w:rPr>
        <w:t>nuto degli schemi di sintesi; scelta dei criteri di valutazione; principi di consolid</w:t>
      </w:r>
      <w:r w:rsidRPr="00E74527">
        <w:rPr>
          <w:rFonts w:eastAsia="Calibri"/>
          <w:lang w:eastAsia="en-US"/>
        </w:rPr>
        <w:t>a</w:t>
      </w:r>
      <w:r w:rsidRPr="00E74527">
        <w:rPr>
          <w:rFonts w:eastAsia="Calibri"/>
          <w:lang w:eastAsia="en-US"/>
        </w:rPr>
        <w:t>mento; trattamento delle differenze di consolidamento; trattamento delle intere</w:t>
      </w:r>
      <w:r w:rsidRPr="00E74527">
        <w:rPr>
          <w:rFonts w:eastAsia="Calibri"/>
          <w:lang w:eastAsia="en-US"/>
        </w:rPr>
        <w:t>s</w:t>
      </w:r>
      <w:r w:rsidRPr="00E74527">
        <w:rPr>
          <w:rFonts w:eastAsia="Calibri"/>
          <w:lang w:eastAsia="en-US"/>
        </w:rPr>
        <w:t>senze dei soci di minoranza).</w:t>
      </w:r>
    </w:p>
    <w:p w14:paraId="026A21EA" w14:textId="77777777" w:rsidR="00187D80" w:rsidRPr="00E74527" w:rsidRDefault="00187D80" w:rsidP="00187D80">
      <w:pPr>
        <w:rPr>
          <w:rFonts w:eastAsia="Calibri"/>
          <w:lang w:eastAsia="en-US"/>
        </w:rPr>
      </w:pPr>
      <w:r w:rsidRPr="00E74527">
        <w:rPr>
          <w:rFonts w:eastAsia="Calibri"/>
          <w:lang w:eastAsia="en-US"/>
        </w:rPr>
        <w:t>Entrambi le parti fanno riferimento sia alla normativa nazionale sia ai principi co</w:t>
      </w:r>
      <w:r w:rsidRPr="00E74527">
        <w:rPr>
          <w:rFonts w:eastAsia="Calibri"/>
          <w:lang w:eastAsia="en-US"/>
        </w:rPr>
        <w:t>n</w:t>
      </w:r>
      <w:r w:rsidRPr="00E74527">
        <w:rPr>
          <w:rFonts w:eastAsia="Calibri"/>
          <w:lang w:eastAsia="en-US"/>
        </w:rPr>
        <w:t>tabili internazionali IAS/IFRS.</w:t>
      </w:r>
    </w:p>
    <w:p w14:paraId="3CA3C275" w14:textId="77777777" w:rsidR="00187D80" w:rsidRPr="00E74527" w:rsidRDefault="00187D80" w:rsidP="00187D80">
      <w:pPr>
        <w:rPr>
          <w:lang w:eastAsia="en-US"/>
        </w:rPr>
      </w:pPr>
      <w:r w:rsidRPr="00E74527">
        <w:rPr>
          <w:lang w:eastAsia="en-US"/>
        </w:rPr>
        <w:t>Al termine di questo corso lo studente sarà in grado di:</w:t>
      </w:r>
    </w:p>
    <w:p w14:paraId="7167E20A" w14:textId="77777777" w:rsidR="00187D80" w:rsidRPr="00E74527" w:rsidRDefault="00187D80" w:rsidP="00956849">
      <w:pPr>
        <w:ind w:left="284" w:hanging="284"/>
        <w:rPr>
          <w:lang w:eastAsia="en-US"/>
        </w:rPr>
      </w:pPr>
      <w:r w:rsidRPr="00E74527">
        <w:rPr>
          <w:lang w:eastAsia="en-US"/>
        </w:rPr>
        <w:t>–</w:t>
      </w:r>
      <w:r w:rsidRPr="00E74527">
        <w:rPr>
          <w:lang w:eastAsia="en-US"/>
        </w:rPr>
        <w:tab/>
        <w:t>conoscere le principali differenze tra i bilanci redatti secondo i principi contab</w:t>
      </w:r>
      <w:r w:rsidRPr="00E74527">
        <w:rPr>
          <w:lang w:eastAsia="en-US"/>
        </w:rPr>
        <w:t>i</w:t>
      </w:r>
      <w:r w:rsidRPr="00E74527">
        <w:rPr>
          <w:lang w:eastAsia="en-US"/>
        </w:rPr>
        <w:t>li nazionali (OIC) e i</w:t>
      </w:r>
      <w:r w:rsidR="00E74527" w:rsidRPr="00E74527">
        <w:rPr>
          <w:lang w:eastAsia="en-US"/>
        </w:rPr>
        <w:t xml:space="preserve"> bilanci redatti secondo i </w:t>
      </w:r>
      <w:r w:rsidRPr="00E74527">
        <w:rPr>
          <w:lang w:eastAsia="en-US"/>
        </w:rPr>
        <w:t>principi contabili internazionali (IAS/IFRS);</w:t>
      </w:r>
    </w:p>
    <w:p w14:paraId="39577AD1" w14:textId="77777777" w:rsidR="00187D80" w:rsidRPr="00E74527" w:rsidRDefault="00187D80" w:rsidP="00956849">
      <w:pPr>
        <w:ind w:left="284" w:hanging="284"/>
        <w:rPr>
          <w:lang w:eastAsia="en-US"/>
        </w:rPr>
      </w:pPr>
      <w:r w:rsidRPr="00E74527">
        <w:rPr>
          <w:lang w:eastAsia="en-US"/>
        </w:rPr>
        <w:t>–</w:t>
      </w:r>
      <w:r w:rsidRPr="00E74527">
        <w:rPr>
          <w:lang w:eastAsia="en-US"/>
        </w:rPr>
        <w:tab/>
        <w:t>analizzare il bilancio di esercizio attraverso l’analisi per indici e</w:t>
      </w:r>
      <w:r w:rsidR="00E74527" w:rsidRPr="00E74527">
        <w:rPr>
          <w:lang w:eastAsia="en-US"/>
        </w:rPr>
        <w:t xml:space="preserve"> l’analisi</w:t>
      </w:r>
      <w:r w:rsidRPr="00E74527">
        <w:rPr>
          <w:lang w:eastAsia="en-US"/>
        </w:rPr>
        <w:t xml:space="preserve"> per flussi del bilancio;</w:t>
      </w:r>
    </w:p>
    <w:p w14:paraId="6C0F6E07" w14:textId="77777777" w:rsidR="00187D80" w:rsidRPr="00E74527" w:rsidRDefault="00187D80" w:rsidP="00956849">
      <w:pPr>
        <w:ind w:left="284" w:hanging="284"/>
        <w:rPr>
          <w:lang w:eastAsia="en-US"/>
        </w:rPr>
      </w:pPr>
      <w:r w:rsidRPr="00E74527">
        <w:rPr>
          <w:lang w:eastAsia="en-US"/>
        </w:rPr>
        <w:t>–</w:t>
      </w:r>
      <w:r w:rsidRPr="00E74527">
        <w:rPr>
          <w:lang w:eastAsia="en-US"/>
        </w:rPr>
        <w:tab/>
        <w:t>leggere un bilancio consolidato, valutandone la conformità ai principi contabili di riferimento;</w:t>
      </w:r>
    </w:p>
    <w:p w14:paraId="26FCF509" w14:textId="77777777" w:rsidR="00187D80" w:rsidRPr="00E74527" w:rsidRDefault="00187D80" w:rsidP="00956849">
      <w:pPr>
        <w:ind w:left="284" w:hanging="284"/>
        <w:rPr>
          <w:lang w:eastAsia="en-US"/>
        </w:rPr>
      </w:pPr>
      <w:r w:rsidRPr="00E74527">
        <w:rPr>
          <w:lang w:eastAsia="en-US"/>
        </w:rPr>
        <w:t>–</w:t>
      </w:r>
      <w:r w:rsidRPr="00E74527">
        <w:rPr>
          <w:lang w:eastAsia="en-US"/>
        </w:rPr>
        <w:tab/>
        <w:t>interpretare un bilancio consolidato, apprezzando il grado di equilibrio fina</w:t>
      </w:r>
      <w:r w:rsidRPr="00E74527">
        <w:rPr>
          <w:lang w:eastAsia="en-US"/>
        </w:rPr>
        <w:t>n</w:t>
      </w:r>
      <w:r w:rsidRPr="00E74527">
        <w:rPr>
          <w:lang w:eastAsia="en-US"/>
        </w:rPr>
        <w:t>ziario, reddituale e patrimoniale.</w:t>
      </w:r>
    </w:p>
    <w:p w14:paraId="515122B9" w14:textId="77777777" w:rsidR="00187D80" w:rsidRPr="00E74527" w:rsidRDefault="00187D80" w:rsidP="00187D80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lastRenderedPageBreak/>
        <w:t>PROGRAMMA DEL CORSO</w:t>
      </w:r>
    </w:p>
    <w:p w14:paraId="30AE05D9" w14:textId="77777777" w:rsidR="00187D80" w:rsidRPr="00E74527" w:rsidRDefault="00187D80" w:rsidP="00187D80">
      <w:pPr>
        <w:tabs>
          <w:tab w:val="clear" w:pos="284"/>
        </w:tabs>
        <w:rPr>
          <w:szCs w:val="20"/>
          <w:lang w:eastAsia="en-US"/>
        </w:rPr>
      </w:pPr>
      <w:r w:rsidRPr="00E74527">
        <w:rPr>
          <w:szCs w:val="20"/>
          <w:lang w:eastAsia="en-US"/>
        </w:rPr>
        <w:t>Il corso è articolato nei seguenti sei moduli didattici:</w:t>
      </w:r>
    </w:p>
    <w:p w14:paraId="1F232C3A" w14:textId="77777777" w:rsidR="00187D80" w:rsidRPr="00E74527" w:rsidRDefault="00187D80" w:rsidP="00187D80">
      <w:pPr>
        <w:tabs>
          <w:tab w:val="clear" w:pos="284"/>
        </w:tabs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1</w:t>
      </w:r>
      <w:r w:rsidRPr="00E74527">
        <w:rPr>
          <w:rFonts w:eastAsia="Calibri"/>
          <w:bCs/>
          <w:szCs w:val="20"/>
          <w:lang w:eastAsia="en-US"/>
        </w:rPr>
        <w:t>: Normativa di riferimento per la redazione del bilancio di esercizio</w:t>
      </w:r>
      <w:r w:rsidRPr="00E74527" w:rsidDel="00AB51D8">
        <w:rPr>
          <w:rFonts w:eastAsia="Calibri"/>
          <w:bCs/>
          <w:szCs w:val="20"/>
          <w:lang w:eastAsia="en-US"/>
        </w:rPr>
        <w:t xml:space="preserve"> </w:t>
      </w:r>
      <w:r w:rsidRPr="00E74527">
        <w:rPr>
          <w:rFonts w:eastAsia="Calibri"/>
          <w:bCs/>
          <w:szCs w:val="20"/>
          <w:lang w:eastAsia="en-US"/>
        </w:rPr>
        <w:t>e i</w:t>
      </w:r>
      <w:r w:rsidRPr="00E74527">
        <w:rPr>
          <w:rFonts w:eastAsia="Calibri"/>
          <w:bCs/>
          <w:szCs w:val="20"/>
          <w:lang w:eastAsia="en-US"/>
        </w:rPr>
        <w:t>n</w:t>
      </w:r>
      <w:r w:rsidRPr="00E74527">
        <w:rPr>
          <w:rFonts w:eastAsia="Calibri"/>
          <w:bCs/>
          <w:szCs w:val="20"/>
          <w:lang w:eastAsia="en-US"/>
        </w:rPr>
        <w:t>troduzione all’analisi di bilancio.</w:t>
      </w:r>
    </w:p>
    <w:p w14:paraId="2364711B" w14:textId="77777777"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2</w:t>
      </w:r>
      <w:r w:rsidRPr="00E74527">
        <w:rPr>
          <w:rFonts w:eastAsia="Calibri"/>
          <w:bCs/>
          <w:szCs w:val="20"/>
          <w:lang w:eastAsia="en-US"/>
        </w:rPr>
        <w:t>: Analisi di bilancio e redazione del rendiconto finanziario.</w:t>
      </w:r>
    </w:p>
    <w:p w14:paraId="5F53EFF3" w14:textId="77777777"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3</w:t>
      </w:r>
      <w:r w:rsidRPr="00E74527">
        <w:rPr>
          <w:rFonts w:eastAsia="Calibri"/>
          <w:bCs/>
          <w:szCs w:val="20"/>
          <w:lang w:eastAsia="en-US"/>
        </w:rPr>
        <w:t>: Normativa di riferimento del bilancio consolidato per i gruppi non qu</w:t>
      </w:r>
      <w:r w:rsidRPr="00E74527">
        <w:rPr>
          <w:rFonts w:eastAsia="Calibri"/>
          <w:bCs/>
          <w:szCs w:val="20"/>
          <w:lang w:eastAsia="en-US"/>
        </w:rPr>
        <w:t>o</w:t>
      </w:r>
      <w:r w:rsidRPr="00E74527">
        <w:rPr>
          <w:rFonts w:eastAsia="Calibri"/>
          <w:bCs/>
          <w:szCs w:val="20"/>
          <w:lang w:eastAsia="en-US"/>
        </w:rPr>
        <w:t>tati e tecniche di redazione.</w:t>
      </w:r>
    </w:p>
    <w:p w14:paraId="322920A2" w14:textId="77777777"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4</w:t>
      </w:r>
      <w:r w:rsidRPr="00E74527">
        <w:rPr>
          <w:rFonts w:eastAsia="Calibri"/>
          <w:bCs/>
          <w:szCs w:val="20"/>
          <w:lang w:eastAsia="en-US"/>
        </w:rPr>
        <w:t>: Consolidamento integrale e metodo del patrimonio netto per i gruppi non quotati.</w:t>
      </w:r>
    </w:p>
    <w:p w14:paraId="6ED5BB25" w14:textId="77777777"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5</w:t>
      </w:r>
      <w:r w:rsidRPr="00E74527">
        <w:rPr>
          <w:rFonts w:eastAsia="Calibri"/>
          <w:bCs/>
          <w:szCs w:val="20"/>
          <w:lang w:eastAsia="en-US"/>
        </w:rPr>
        <w:t>: Quadro normativo per i principi contabili internazionali IAS/IFRS e di</w:t>
      </w:r>
      <w:r w:rsidRPr="00E74527">
        <w:rPr>
          <w:rFonts w:eastAsia="Calibri"/>
          <w:bCs/>
          <w:szCs w:val="20"/>
          <w:lang w:eastAsia="en-US"/>
        </w:rPr>
        <w:t>f</w:t>
      </w:r>
      <w:r w:rsidRPr="00E74527">
        <w:rPr>
          <w:rFonts w:eastAsia="Calibri"/>
          <w:bCs/>
          <w:szCs w:val="20"/>
          <w:lang w:eastAsia="en-US"/>
        </w:rPr>
        <w:t>ferenze rispetto ai principi contabili nazionali.</w:t>
      </w:r>
    </w:p>
    <w:p w14:paraId="1879618C" w14:textId="77777777" w:rsidR="00187D80" w:rsidRPr="00E74527" w:rsidRDefault="00187D80" w:rsidP="00114996">
      <w:pPr>
        <w:tabs>
          <w:tab w:val="clear" w:pos="284"/>
        </w:tabs>
        <w:spacing w:before="120"/>
        <w:rPr>
          <w:rFonts w:eastAsia="Calibri"/>
          <w:bCs/>
          <w:szCs w:val="20"/>
          <w:lang w:eastAsia="en-US"/>
        </w:rPr>
      </w:pPr>
      <w:r w:rsidRPr="00E74527">
        <w:rPr>
          <w:rFonts w:eastAsia="Calibri"/>
          <w:bCs/>
          <w:i/>
          <w:szCs w:val="20"/>
          <w:lang w:eastAsia="en-US"/>
        </w:rPr>
        <w:t>Modulo 6</w:t>
      </w:r>
      <w:r w:rsidRPr="00E74527">
        <w:rPr>
          <w:rFonts w:eastAsia="Calibri"/>
          <w:bCs/>
          <w:szCs w:val="20"/>
          <w:lang w:eastAsia="en-US"/>
        </w:rPr>
        <w:t>: Tecniche di redazione del bilancio consolidato</w:t>
      </w:r>
      <w:r w:rsidRPr="00E74527" w:rsidDel="00DE7FE7">
        <w:rPr>
          <w:rFonts w:eastAsia="Calibri"/>
          <w:bCs/>
          <w:szCs w:val="20"/>
          <w:lang w:eastAsia="en-US"/>
        </w:rPr>
        <w:t xml:space="preserve"> </w:t>
      </w:r>
      <w:r w:rsidRPr="00E74527">
        <w:rPr>
          <w:rFonts w:eastAsia="Calibri"/>
          <w:bCs/>
          <w:szCs w:val="20"/>
          <w:lang w:eastAsia="en-US"/>
        </w:rPr>
        <w:t>secondo i principi cont</w:t>
      </w:r>
      <w:r w:rsidRPr="00E74527">
        <w:rPr>
          <w:rFonts w:eastAsia="Calibri"/>
          <w:bCs/>
          <w:szCs w:val="20"/>
          <w:lang w:eastAsia="en-US"/>
        </w:rPr>
        <w:t>a</w:t>
      </w:r>
      <w:r w:rsidRPr="00E74527">
        <w:rPr>
          <w:rFonts w:eastAsia="Calibri"/>
          <w:bCs/>
          <w:szCs w:val="20"/>
          <w:lang w:eastAsia="en-US"/>
        </w:rPr>
        <w:t>bili internazionali IAS/IFRS.</w:t>
      </w:r>
    </w:p>
    <w:p w14:paraId="039FE8F1" w14:textId="4CE1FDF7" w:rsidR="00187D80" w:rsidRPr="00E74527" w:rsidRDefault="00187D80" w:rsidP="00187D80">
      <w:pPr>
        <w:tabs>
          <w:tab w:val="clear" w:pos="284"/>
        </w:tabs>
        <w:spacing w:before="240" w:after="120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t>BIBLIOGRAFIA</w:t>
      </w:r>
      <w:r w:rsidR="00A92FF2">
        <w:rPr>
          <w:rStyle w:val="Rimandonotaapidipagina"/>
          <w:rFonts w:eastAsia="Calibri"/>
          <w:b/>
          <w:i/>
          <w:sz w:val="18"/>
          <w:szCs w:val="18"/>
          <w:lang w:eastAsia="en-US"/>
        </w:rPr>
        <w:footnoteReference w:id="1"/>
      </w:r>
    </w:p>
    <w:p w14:paraId="28B8180E" w14:textId="5AFFD010" w:rsidR="008F2863" w:rsidRPr="006418E5" w:rsidRDefault="008F2863" w:rsidP="008F2863">
      <w:pPr>
        <w:tabs>
          <w:tab w:val="clear" w:pos="284"/>
        </w:tabs>
        <w:spacing w:line="240" w:lineRule="atLeast"/>
        <w:ind w:left="284" w:hanging="284"/>
        <w:rPr>
          <w:smallCaps/>
          <w:noProof/>
          <w:spacing w:val="-5"/>
          <w:sz w:val="18"/>
          <w:szCs w:val="16"/>
        </w:rPr>
      </w:pPr>
      <w:r w:rsidRPr="00E74527">
        <w:rPr>
          <w:smallCaps/>
          <w:noProof/>
          <w:spacing w:val="-5"/>
          <w:sz w:val="16"/>
          <w:szCs w:val="16"/>
        </w:rPr>
        <w:t>F. Lenoci - E. Rocca,</w:t>
      </w:r>
      <w:r w:rsidRPr="00E74527">
        <w:rPr>
          <w:i/>
          <w:smallCaps/>
          <w:noProof/>
          <w:spacing w:val="-5"/>
          <w:sz w:val="16"/>
          <w:szCs w:val="16"/>
        </w:rPr>
        <w:t xml:space="preserve"> </w:t>
      </w:r>
      <w:r w:rsidRPr="006418E5">
        <w:rPr>
          <w:i/>
          <w:noProof/>
          <w:spacing w:val="-5"/>
          <w:sz w:val="18"/>
          <w:szCs w:val="16"/>
        </w:rPr>
        <w:t>Rendiconto finanziario,</w:t>
      </w:r>
      <w:r w:rsidRPr="006418E5">
        <w:rPr>
          <w:noProof/>
          <w:spacing w:val="-5"/>
          <w:sz w:val="18"/>
          <w:szCs w:val="16"/>
        </w:rPr>
        <w:t xml:space="preserve"> Wolters Kluwer, Milano, 2018</w:t>
      </w:r>
    </w:p>
    <w:p w14:paraId="397F94E6" w14:textId="3248ED48" w:rsidR="008F2863" w:rsidRPr="00E74527" w:rsidRDefault="008F2863" w:rsidP="008F2863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6"/>
          <w:szCs w:val="16"/>
        </w:rPr>
      </w:pPr>
      <w:r w:rsidRPr="00E74527">
        <w:rPr>
          <w:smallCaps/>
          <w:noProof/>
          <w:spacing w:val="-5"/>
          <w:sz w:val="16"/>
          <w:szCs w:val="16"/>
        </w:rPr>
        <w:t>F. Lenoci - E. Rocca,</w:t>
      </w:r>
      <w:r w:rsidRPr="00E74527">
        <w:rPr>
          <w:i/>
          <w:smallCaps/>
          <w:noProof/>
          <w:spacing w:val="-5"/>
          <w:sz w:val="16"/>
          <w:szCs w:val="16"/>
        </w:rPr>
        <w:t xml:space="preserve"> </w:t>
      </w:r>
      <w:r w:rsidRPr="006418E5">
        <w:rPr>
          <w:i/>
          <w:noProof/>
          <w:spacing w:val="-5"/>
          <w:sz w:val="18"/>
          <w:szCs w:val="16"/>
        </w:rPr>
        <w:t>Bilancio consolidato,</w:t>
      </w:r>
      <w:r w:rsidRPr="006418E5">
        <w:rPr>
          <w:noProof/>
          <w:spacing w:val="-5"/>
          <w:sz w:val="18"/>
          <w:szCs w:val="16"/>
        </w:rPr>
        <w:t xml:space="preserve"> Wolters Kluwer, Milano, 2017.</w:t>
      </w:r>
      <w:bookmarkStart w:id="0" w:name="_GoBack"/>
      <w:bookmarkEnd w:id="0"/>
    </w:p>
    <w:p w14:paraId="6E7FFDCA" w14:textId="77777777" w:rsidR="008F2863" w:rsidRPr="006418E5" w:rsidRDefault="008F2863" w:rsidP="008F2863">
      <w:pPr>
        <w:tabs>
          <w:tab w:val="clear" w:pos="284"/>
        </w:tabs>
        <w:spacing w:line="0" w:lineRule="atLeast"/>
        <w:ind w:left="284" w:hanging="284"/>
        <w:rPr>
          <w:noProof/>
          <w:spacing w:val="-5"/>
          <w:sz w:val="18"/>
          <w:szCs w:val="16"/>
          <w:lang w:val="en-US"/>
        </w:rPr>
      </w:pPr>
      <w:r w:rsidRPr="00E74527">
        <w:rPr>
          <w:smallCaps/>
          <w:noProof/>
          <w:spacing w:val="-5"/>
          <w:sz w:val="16"/>
          <w:szCs w:val="16"/>
          <w:lang w:val="en-US"/>
        </w:rPr>
        <w:t>IASB Foundation</w:t>
      </w:r>
      <w:r w:rsidRPr="006418E5">
        <w:rPr>
          <w:noProof/>
          <w:spacing w:val="-5"/>
          <w:sz w:val="18"/>
          <w:szCs w:val="16"/>
          <w:lang w:val="en-US"/>
        </w:rPr>
        <w:t xml:space="preserve">, </w:t>
      </w:r>
      <w:hyperlink r:id="rId9" w:history="1">
        <w:r w:rsidRPr="006418E5">
          <w:rPr>
            <w:rStyle w:val="Collegamentoipertestuale"/>
            <w:i/>
            <w:noProof/>
            <w:spacing w:val="-5"/>
            <w:sz w:val="18"/>
            <w:szCs w:val="16"/>
            <w:lang w:val="en-US"/>
          </w:rPr>
          <w:t>Conceptual Framework for Financial Reporting</w:t>
        </w:r>
      </w:hyperlink>
      <w:r w:rsidRPr="006418E5">
        <w:rPr>
          <w:i/>
          <w:noProof/>
          <w:spacing w:val="-5"/>
          <w:sz w:val="18"/>
          <w:szCs w:val="16"/>
          <w:lang w:val="en-US"/>
        </w:rPr>
        <w:t xml:space="preserve"> (</w:t>
      </w:r>
      <w:r w:rsidRPr="006418E5">
        <w:rPr>
          <w:i/>
          <w:iCs/>
          <w:noProof/>
          <w:spacing w:val="-5"/>
          <w:sz w:val="18"/>
          <w:szCs w:val="16"/>
          <w:lang w:val="en-US"/>
        </w:rPr>
        <w:t>Conceptual Framework</w:t>
      </w:r>
      <w:r w:rsidRPr="006418E5">
        <w:rPr>
          <w:i/>
          <w:noProof/>
          <w:spacing w:val="-5"/>
          <w:sz w:val="18"/>
          <w:szCs w:val="16"/>
          <w:lang w:val="en-US"/>
        </w:rPr>
        <w:t xml:space="preserve">), </w:t>
      </w:r>
      <w:r w:rsidRPr="006418E5">
        <w:rPr>
          <w:noProof/>
          <w:spacing w:val="-5"/>
          <w:sz w:val="18"/>
          <w:szCs w:val="16"/>
          <w:lang w:val="en-US"/>
        </w:rPr>
        <w:t>March 2018.</w:t>
      </w:r>
    </w:p>
    <w:p w14:paraId="3F381E1A" w14:textId="77777777" w:rsidR="008F2863" w:rsidRPr="00E74527" w:rsidRDefault="008F2863" w:rsidP="008F2863">
      <w:pPr>
        <w:tabs>
          <w:tab w:val="clear" w:pos="284"/>
        </w:tabs>
        <w:spacing w:line="240" w:lineRule="atLeast"/>
        <w:ind w:left="284" w:hanging="284"/>
        <w:rPr>
          <w:smallCaps/>
          <w:noProof/>
          <w:spacing w:val="-5"/>
          <w:sz w:val="16"/>
          <w:szCs w:val="16"/>
        </w:rPr>
      </w:pPr>
      <w:r w:rsidRPr="00E74527">
        <w:rPr>
          <w:smallCaps/>
          <w:noProof/>
          <w:spacing w:val="-5"/>
          <w:sz w:val="16"/>
          <w:szCs w:val="16"/>
        </w:rPr>
        <w:t xml:space="preserve">C. Sottoriva - F. lenoci, </w:t>
      </w:r>
      <w:r w:rsidR="00E74527" w:rsidRPr="006418E5">
        <w:rPr>
          <w:noProof/>
          <w:spacing w:val="-5"/>
          <w:sz w:val="18"/>
          <w:szCs w:val="16"/>
        </w:rPr>
        <w:t>M</w:t>
      </w:r>
      <w:r w:rsidRPr="006418E5">
        <w:rPr>
          <w:noProof/>
          <w:spacing w:val="-5"/>
          <w:sz w:val="18"/>
          <w:szCs w:val="16"/>
        </w:rPr>
        <w:t xml:space="preserve">ateriale integrativo su “Analisi di bilancio e bilancio consolidato” disponibile </w:t>
      </w:r>
      <w:r w:rsidR="00E74527" w:rsidRPr="006418E5">
        <w:rPr>
          <w:i/>
          <w:noProof/>
          <w:spacing w:val="-5"/>
          <w:sz w:val="18"/>
          <w:szCs w:val="16"/>
        </w:rPr>
        <w:t>on-lin</w:t>
      </w:r>
      <w:r w:rsidR="00E74527" w:rsidRPr="006418E5">
        <w:rPr>
          <w:noProof/>
          <w:spacing w:val="-5"/>
          <w:sz w:val="18"/>
          <w:szCs w:val="16"/>
        </w:rPr>
        <w:t xml:space="preserve">e nella </w:t>
      </w:r>
      <w:r w:rsidRPr="006418E5">
        <w:rPr>
          <w:noProof/>
          <w:spacing w:val="-5"/>
          <w:sz w:val="18"/>
          <w:szCs w:val="16"/>
        </w:rPr>
        <w:t xml:space="preserve">piattaforma </w:t>
      </w:r>
      <w:r w:rsidRPr="006418E5">
        <w:rPr>
          <w:i/>
          <w:noProof/>
          <w:spacing w:val="-5"/>
          <w:sz w:val="18"/>
          <w:szCs w:val="16"/>
        </w:rPr>
        <w:t>Blackboard</w:t>
      </w:r>
      <w:r w:rsidRPr="006418E5">
        <w:rPr>
          <w:noProof/>
          <w:spacing w:val="-5"/>
          <w:sz w:val="18"/>
          <w:szCs w:val="16"/>
        </w:rPr>
        <w:t xml:space="preserve"> o in forma cartacea</w:t>
      </w:r>
      <w:r w:rsidRPr="006418E5">
        <w:rPr>
          <w:smallCaps/>
          <w:noProof/>
          <w:spacing w:val="-5"/>
          <w:sz w:val="18"/>
          <w:szCs w:val="16"/>
        </w:rPr>
        <w:t>.</w:t>
      </w:r>
    </w:p>
    <w:p w14:paraId="66E79EB0" w14:textId="77777777" w:rsidR="00187D80" w:rsidRPr="00E74527" w:rsidRDefault="00187D80" w:rsidP="00187D80">
      <w:pPr>
        <w:pStyle w:val="Testo1"/>
        <w:rPr>
          <w:rFonts w:ascii="Times New Roman" w:hAnsi="Times New Roman"/>
        </w:rPr>
      </w:pPr>
      <w:r w:rsidRPr="00E74527">
        <w:rPr>
          <w:rFonts w:ascii="Times New Roman" w:hAnsi="Times New Roman"/>
        </w:rPr>
        <w:t xml:space="preserve">Durante il ciclo delle lezioni, nella piattaforma </w:t>
      </w:r>
      <w:r w:rsidRPr="00E74527">
        <w:rPr>
          <w:rFonts w:ascii="Times New Roman" w:hAnsi="Times New Roman"/>
          <w:i/>
        </w:rPr>
        <w:t>B</w:t>
      </w:r>
      <w:r w:rsidR="00956849" w:rsidRPr="00E74527">
        <w:rPr>
          <w:rFonts w:ascii="Times New Roman" w:hAnsi="Times New Roman"/>
          <w:i/>
        </w:rPr>
        <w:t>l</w:t>
      </w:r>
      <w:r w:rsidRPr="00E74527">
        <w:rPr>
          <w:rFonts w:ascii="Times New Roman" w:hAnsi="Times New Roman"/>
          <w:i/>
        </w:rPr>
        <w:t>ackboard</w:t>
      </w:r>
      <w:r w:rsidRPr="00E74527">
        <w:rPr>
          <w:rFonts w:ascii="Times New Roman" w:hAnsi="Times New Roman"/>
        </w:rPr>
        <w:t xml:space="preserve"> dell’Università Cattolica, sarà reso via via disponibile materiale didattico aggiuntivo, riferimenti bibliografici e letture consigliate al fine di favorire l’apprendimento da parte dello studente.</w:t>
      </w:r>
    </w:p>
    <w:p w14:paraId="5EBFBE92" w14:textId="77777777" w:rsidR="00187D80" w:rsidRPr="00E74527" w:rsidRDefault="00187D80" w:rsidP="00187D8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t>DIDATTICA DEL CORSO</w:t>
      </w:r>
    </w:p>
    <w:p w14:paraId="7CFED1CF" w14:textId="77777777" w:rsidR="00187D80" w:rsidRPr="00E74527" w:rsidRDefault="00187D80" w:rsidP="00187D80">
      <w:pPr>
        <w:pStyle w:val="Testo2"/>
        <w:rPr>
          <w:rFonts w:ascii="Times New Roman" w:hAnsi="Times New Roman"/>
        </w:rPr>
      </w:pPr>
      <w:r w:rsidRPr="00E74527">
        <w:rPr>
          <w:rFonts w:ascii="Times New Roman" w:hAnsi="Times New Roman"/>
        </w:rPr>
        <w:t xml:space="preserve">Il corso, erogato in modalità </w:t>
      </w:r>
      <w:r w:rsidRPr="00E74527">
        <w:rPr>
          <w:rFonts w:ascii="Times New Roman" w:hAnsi="Times New Roman"/>
          <w:i/>
        </w:rPr>
        <w:t>blended</w:t>
      </w:r>
      <w:r w:rsidRPr="00E74527">
        <w:rPr>
          <w:rFonts w:ascii="Times New Roman" w:hAnsi="Times New Roman"/>
        </w:rPr>
        <w:t xml:space="preserve">, prevede attività in forma residenziale (50%) ed in remoto (50%). Le attività in remoto prevedono la fruizione di videolezioni (asicrone), webinar esercitativi e </w:t>
      </w:r>
      <w:r w:rsidRPr="00E74527">
        <w:rPr>
          <w:rFonts w:ascii="Times New Roman" w:hAnsi="Times New Roman"/>
          <w:i/>
        </w:rPr>
        <w:t>feed-back-live</w:t>
      </w:r>
      <w:r w:rsidRPr="00E74527">
        <w:rPr>
          <w:rFonts w:ascii="Times New Roman" w:hAnsi="Times New Roman"/>
        </w:rPr>
        <w:t xml:space="preserve"> (sincroni realizzati in </w:t>
      </w:r>
      <w:r w:rsidRPr="00E74527">
        <w:rPr>
          <w:rFonts w:ascii="Times New Roman" w:hAnsi="Times New Roman"/>
          <w:i/>
        </w:rPr>
        <w:t>webconference</w:t>
      </w:r>
      <w:r w:rsidRPr="00E74527">
        <w:rPr>
          <w:rFonts w:ascii="Times New Roman" w:hAnsi="Times New Roman"/>
        </w:rPr>
        <w:t>).</w:t>
      </w:r>
    </w:p>
    <w:p w14:paraId="56C3EC2E" w14:textId="77777777" w:rsidR="00187D80" w:rsidRPr="00E74527" w:rsidRDefault="00187D80" w:rsidP="00187D80">
      <w:pPr>
        <w:pStyle w:val="Testo2"/>
        <w:rPr>
          <w:rFonts w:ascii="Times New Roman" w:hAnsi="Times New Roman"/>
          <w:szCs w:val="18"/>
          <w:lang w:eastAsia="en-US"/>
        </w:rPr>
      </w:pPr>
      <w:r w:rsidRPr="00E74527">
        <w:rPr>
          <w:rFonts w:ascii="Times New Roman" w:hAnsi="Times New Roman"/>
          <w:szCs w:val="18"/>
          <w:lang w:eastAsia="en-US"/>
        </w:rPr>
        <w:t xml:space="preserve">Il corso prevede l’alternanza di lezioni in aula ed attività da svolgere </w:t>
      </w:r>
      <w:r w:rsidRPr="00E74527">
        <w:rPr>
          <w:rFonts w:ascii="Times New Roman" w:hAnsi="Times New Roman"/>
          <w:i/>
          <w:szCs w:val="18"/>
          <w:lang w:eastAsia="en-US"/>
        </w:rPr>
        <w:t>online</w:t>
      </w:r>
      <w:r w:rsidRPr="00E74527">
        <w:rPr>
          <w:rFonts w:ascii="Times New Roman" w:hAnsi="Times New Roman"/>
          <w:szCs w:val="18"/>
          <w:lang w:eastAsia="en-US"/>
        </w:rPr>
        <w:t>.</w:t>
      </w:r>
    </w:p>
    <w:p w14:paraId="354895D3" w14:textId="77777777" w:rsidR="00187D80" w:rsidRPr="00E74527" w:rsidRDefault="00187D80" w:rsidP="00187D80">
      <w:pPr>
        <w:pStyle w:val="Testo2"/>
        <w:rPr>
          <w:rFonts w:ascii="Times New Roman" w:hAnsi="Times New Roman"/>
          <w:szCs w:val="18"/>
          <w:lang w:eastAsia="en-US"/>
        </w:rPr>
      </w:pPr>
      <w:r w:rsidRPr="00E74527">
        <w:rPr>
          <w:rFonts w:ascii="Times New Roman" w:hAnsi="Times New Roman"/>
          <w:szCs w:val="18"/>
          <w:lang w:eastAsia="en-US"/>
        </w:rPr>
        <w:t xml:space="preserve">A distanza è richiesto di studiare gli argomenti presentati nelle videolezioni ed il materiale di approfondimento. </w:t>
      </w:r>
    </w:p>
    <w:p w14:paraId="3CA895D2" w14:textId="77777777" w:rsidR="00187D80" w:rsidRPr="00E74527" w:rsidRDefault="00187D80" w:rsidP="00187D80">
      <w:pPr>
        <w:pStyle w:val="Testo2"/>
        <w:rPr>
          <w:rFonts w:ascii="Times New Roman" w:hAnsi="Times New Roman"/>
          <w:szCs w:val="18"/>
          <w:lang w:eastAsia="en-US"/>
        </w:rPr>
      </w:pPr>
      <w:r w:rsidRPr="00E74527">
        <w:rPr>
          <w:rFonts w:ascii="Times New Roman" w:hAnsi="Times New Roman"/>
          <w:szCs w:val="18"/>
          <w:lang w:eastAsia="en-US"/>
        </w:rPr>
        <w:t xml:space="preserve">La partecipazione ai </w:t>
      </w:r>
      <w:r w:rsidRPr="00E74527">
        <w:rPr>
          <w:rFonts w:ascii="Times New Roman" w:hAnsi="Times New Roman"/>
          <w:i/>
          <w:szCs w:val="18"/>
          <w:lang w:eastAsia="en-US"/>
        </w:rPr>
        <w:t>webinar</w:t>
      </w:r>
      <w:r w:rsidRPr="00E74527">
        <w:rPr>
          <w:rFonts w:ascii="Times New Roman" w:hAnsi="Times New Roman"/>
          <w:szCs w:val="18"/>
          <w:lang w:eastAsia="en-US"/>
        </w:rPr>
        <w:t xml:space="preserve"> (esercitativi) ed ai </w:t>
      </w:r>
      <w:r w:rsidRPr="00E74527">
        <w:rPr>
          <w:rFonts w:ascii="Times New Roman" w:hAnsi="Times New Roman"/>
          <w:i/>
          <w:szCs w:val="18"/>
          <w:lang w:eastAsia="en-US"/>
        </w:rPr>
        <w:t>feedback</w:t>
      </w:r>
      <w:r w:rsidRPr="00E74527">
        <w:rPr>
          <w:rFonts w:ascii="Times New Roman" w:hAnsi="Times New Roman"/>
          <w:szCs w:val="18"/>
          <w:lang w:eastAsia="en-US"/>
        </w:rPr>
        <w:t xml:space="preserve"> risulta fondamentale ai fini dell’apprendimento. </w:t>
      </w:r>
    </w:p>
    <w:p w14:paraId="2A886EC9" w14:textId="77777777" w:rsidR="00187D80" w:rsidRPr="00E74527" w:rsidRDefault="00187D80" w:rsidP="00187D80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lastRenderedPageBreak/>
        <w:t xml:space="preserve">METODO </w:t>
      </w:r>
      <w:r w:rsidR="00F07BF8" w:rsidRPr="00E74527">
        <w:rPr>
          <w:rFonts w:eastAsia="Calibri"/>
          <w:b/>
          <w:i/>
          <w:sz w:val="18"/>
          <w:szCs w:val="18"/>
          <w:lang w:eastAsia="en-US"/>
        </w:rPr>
        <w:t xml:space="preserve">E CRITERI </w:t>
      </w:r>
      <w:r w:rsidRPr="00E74527">
        <w:rPr>
          <w:rFonts w:eastAsia="Calibri"/>
          <w:b/>
          <w:i/>
          <w:sz w:val="18"/>
          <w:szCs w:val="18"/>
          <w:lang w:eastAsia="en-US"/>
        </w:rPr>
        <w:t>DI VALUTAZIONE</w:t>
      </w:r>
    </w:p>
    <w:p w14:paraId="4F0ED229" w14:textId="77777777" w:rsidR="008F2863" w:rsidRPr="00E74527" w:rsidRDefault="00187D80" w:rsidP="008F130E">
      <w:pPr>
        <w:pStyle w:val="Testo2"/>
        <w:rPr>
          <w:rFonts w:ascii="Times New Roman" w:hAnsi="Times New Roman"/>
          <w:lang w:eastAsia="en-US"/>
        </w:rPr>
      </w:pPr>
      <w:r w:rsidRPr="00E74527">
        <w:rPr>
          <w:rFonts w:ascii="Times New Roman" w:hAnsi="Times New Roman"/>
          <w:lang w:eastAsia="en-US"/>
        </w:rPr>
        <w:t>La verifica dell’apprendimento da parte dello studente potrà avvenire a scelta dello studente sulla base di due diverse modalità: a) valutazione progressiva in itinere o b) valutazione unitaria sommativa come di seguito illustrato.</w:t>
      </w:r>
    </w:p>
    <w:p w14:paraId="06A15121" w14:textId="77777777" w:rsidR="008F2863" w:rsidRPr="00E74527" w:rsidRDefault="008F2863" w:rsidP="008F130E">
      <w:pPr>
        <w:pStyle w:val="Testo2"/>
        <w:numPr>
          <w:ilvl w:val="0"/>
          <w:numId w:val="5"/>
        </w:numPr>
        <w:spacing w:before="120"/>
        <w:rPr>
          <w:rFonts w:ascii="Times New Roman" w:hAnsi="Times New Roman"/>
          <w:i/>
          <w:color w:val="212121"/>
          <w:szCs w:val="22"/>
          <w:u w:val="single"/>
        </w:rPr>
      </w:pPr>
      <w:r w:rsidRPr="00E74527">
        <w:rPr>
          <w:rFonts w:ascii="Times New Roman" w:hAnsi="Times New Roman"/>
          <w:i/>
          <w:color w:val="212121"/>
          <w:szCs w:val="22"/>
          <w:u w:val="single"/>
        </w:rPr>
        <w:t>Valutazione progressiva in itinere</w:t>
      </w:r>
    </w:p>
    <w:p w14:paraId="75B2177B" w14:textId="77777777" w:rsidR="008F2863" w:rsidRPr="00E74527" w:rsidRDefault="008F2863" w:rsidP="008F2863">
      <w:pPr>
        <w:pStyle w:val="Testo2"/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color w:val="212121"/>
          <w:szCs w:val="22"/>
        </w:rPr>
        <w:t>Gli studenti che aderiscono alla valutazione progressiva in itinere dovranno sostenere due prove in itinere ed una prova finale. In particolare:</w:t>
      </w:r>
    </w:p>
    <w:p w14:paraId="4C3BC83D" w14:textId="77777777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>le prove in itinere, che concorrono alla determina</w:t>
      </w:r>
      <w:r w:rsidR="002F5E7C">
        <w:rPr>
          <w:rFonts w:ascii="Times New Roman" w:hAnsi="Times New Roman"/>
          <w:bCs/>
          <w:color w:val="212121"/>
          <w:szCs w:val="22"/>
        </w:rPr>
        <w:t>zione del voto finale con peso 5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0%, si compongono di: (i) una prova scritta di accertamento delle conoscenze relative ai moduli 1 e 2, da svolgersi individualmente in presenza durante la lezione indicata in Blackboard; (ii) un </w:t>
      </w:r>
      <w:r w:rsidRPr="00E74527">
        <w:rPr>
          <w:rFonts w:ascii="Times New Roman" w:hAnsi="Times New Roman"/>
          <w:bCs/>
          <w:i/>
          <w:iCs/>
          <w:color w:val="212121"/>
          <w:szCs w:val="22"/>
        </w:rPr>
        <w:t>assignment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di gruppo relativo all’accertamento di abilità e competenze aventi per oggetto i contenuti dei moduli 3, 4, 5 e 6;</w:t>
      </w:r>
    </w:p>
    <w:p w14:paraId="2C7D9E0F" w14:textId="77777777" w:rsidR="008F2863" w:rsidRPr="008F130E" w:rsidRDefault="008F2863" w:rsidP="008F130E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la prova di completamento, che concorre alla determinazione del voto finale con peso </w:t>
      </w:r>
      <w:r w:rsidR="002F5E7C">
        <w:rPr>
          <w:rFonts w:ascii="Times New Roman" w:hAnsi="Times New Roman"/>
          <w:bCs/>
          <w:color w:val="212121"/>
          <w:szCs w:val="22"/>
        </w:rPr>
        <w:t>5</w:t>
      </w:r>
      <w:r w:rsidRPr="00E74527">
        <w:rPr>
          <w:rFonts w:ascii="Times New Roman" w:hAnsi="Times New Roman"/>
          <w:bCs/>
          <w:color w:val="212121"/>
          <w:szCs w:val="22"/>
        </w:rPr>
        <w:t>0%, è da svolgersi in forma orale in corrispondenza di uno dei 3 appelli successivi al semestre di erogazione del corso.</w:t>
      </w:r>
    </w:p>
    <w:p w14:paraId="6A256D61" w14:textId="77777777" w:rsidR="008F2863" w:rsidRPr="00E74527" w:rsidRDefault="008F2863" w:rsidP="008F130E">
      <w:pPr>
        <w:pStyle w:val="Testo2"/>
        <w:spacing w:before="120"/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>Si precisa, inoltre, che:</w:t>
      </w:r>
    </w:p>
    <w:p w14:paraId="38E20A77" w14:textId="77777777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>se la prova di accertamento delle conoscenze in presenza è positiva, i relativi contenuti teorici (moduli 1 e 2) sono esclusi dalla prova di completamento;</w:t>
      </w:r>
    </w:p>
    <w:p w14:paraId="52B8441B" w14:textId="77777777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in caso di assenza, di insufficienza o di rifiuto del voto alla prova di accertamento delle conoscenze in presenza, è possibile recuperare la prova </w:t>
      </w:r>
      <w:r w:rsidRPr="00E74527">
        <w:rPr>
          <w:rFonts w:ascii="Times New Roman" w:hAnsi="Times New Roman"/>
          <w:bCs/>
          <w:color w:val="212121"/>
          <w:szCs w:val="22"/>
          <w:u w:val="single"/>
        </w:rPr>
        <w:t>una sola volta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in sede di svolgimento della prova di completamento (</w:t>
      </w:r>
      <w:r w:rsidRPr="00E74527">
        <w:rPr>
          <w:rFonts w:ascii="Times New Roman" w:hAnsi="Times New Roman"/>
          <w:color w:val="212121"/>
          <w:szCs w:val="22"/>
        </w:rPr>
        <w:t>in corrispondenza di uno solo dei 3 appelli successivi al semestre di erogazione del corso); in sede di recupero, saranno richieste in forma scritta le conoscenze relative ai contenuti dei moduli 1 e 2; se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la prova di recupero è sufficiente, si procede, durante il medesimo appello, allo svolgimento della prova di completamento in forma orale; se la prova di recupero è insufficiente, lo studente dovrà sostenere l’esame con valutazione unitaria sommativa (sub B); </w:t>
      </w:r>
    </w:p>
    <w:p w14:paraId="0219A797" w14:textId="77777777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la composizione dei gruppi relativi agli </w:t>
      </w:r>
      <w:r w:rsidRPr="00E74527">
        <w:rPr>
          <w:rFonts w:ascii="Times New Roman" w:hAnsi="Times New Roman"/>
          <w:bCs/>
          <w:i/>
          <w:iCs/>
          <w:color w:val="212121"/>
          <w:szCs w:val="22"/>
        </w:rPr>
        <w:t>assignment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viene definita dalla Faculty, con rotazione dei partecipanti;</w:t>
      </w:r>
    </w:p>
    <w:p w14:paraId="2D3EEEEC" w14:textId="43A4A3A8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bCs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>la prova di accertamento di abilità/competenze svolta in remoto deve essere sufficient</w:t>
      </w:r>
      <w:r w:rsidR="00311F7A">
        <w:rPr>
          <w:rFonts w:ascii="Times New Roman" w:hAnsi="Times New Roman"/>
          <w:bCs/>
          <w:color w:val="212121"/>
          <w:szCs w:val="22"/>
        </w:rPr>
        <w:t>e</w:t>
      </w:r>
      <w:r w:rsidRPr="00E74527">
        <w:rPr>
          <w:rFonts w:ascii="Times New Roman" w:hAnsi="Times New Roman"/>
          <w:bCs/>
          <w:color w:val="212121"/>
          <w:szCs w:val="22"/>
        </w:rPr>
        <w:t xml:space="preserve"> (non è possibile recuperare l’assenza o l’insufficienza); in caso di insufficienza, lo studente dovrà sostenere l’esame con valutazione unitaria sommativa (sub B); </w:t>
      </w:r>
    </w:p>
    <w:p w14:paraId="6260ADE0" w14:textId="77777777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il </w:t>
      </w:r>
      <w:r w:rsidR="002F5E7C">
        <w:rPr>
          <w:rFonts w:ascii="Times New Roman" w:hAnsi="Times New Roman"/>
          <w:bCs/>
          <w:color w:val="212121"/>
          <w:szCs w:val="22"/>
        </w:rPr>
        <w:t>5</w:t>
      </w:r>
      <w:r w:rsidRPr="00E74527">
        <w:rPr>
          <w:rFonts w:ascii="Times New Roman" w:hAnsi="Times New Roman"/>
          <w:bCs/>
          <w:color w:val="212121"/>
          <w:szCs w:val="22"/>
        </w:rPr>
        <w:t>0% del voto finale è determinato dalla media semplice delle 2 valutazioni in itinere;</w:t>
      </w:r>
    </w:p>
    <w:p w14:paraId="31FB4890" w14:textId="77777777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bCs/>
          <w:color w:val="212121"/>
          <w:szCs w:val="22"/>
        </w:rPr>
        <w:t xml:space="preserve">la prova di completamento deve essere sufficiente; </w:t>
      </w:r>
      <w:r w:rsidRPr="00E74527">
        <w:rPr>
          <w:rFonts w:ascii="Times New Roman" w:hAnsi="Times New Roman"/>
          <w:color w:val="212121"/>
          <w:szCs w:val="22"/>
        </w:rPr>
        <w:t>lo studente che non consegue una valutazione sufficiente nella prova finale mantiene valide le valutazioni in itinere, a condizione che la prova finale sia svolta con esito sufficiente in uno dei tre appelli di esame successivi alla conclusione del corso;</w:t>
      </w:r>
    </w:p>
    <w:p w14:paraId="101B7C28" w14:textId="60DF784E" w:rsidR="008F2863" w:rsidRPr="00E74527" w:rsidRDefault="008F2863" w:rsidP="008F2863">
      <w:pPr>
        <w:pStyle w:val="Testo2"/>
        <w:numPr>
          <w:ilvl w:val="0"/>
          <w:numId w:val="4"/>
        </w:numPr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color w:val="212121"/>
          <w:szCs w:val="22"/>
        </w:rPr>
        <w:t xml:space="preserve">lo studente non può rifiutare il voto ottenuto alla seconda prova online in itinere (che sia </w:t>
      </w:r>
      <w:r w:rsidRPr="00E74527">
        <w:rPr>
          <w:rFonts w:ascii="Times New Roman" w:hAnsi="Times New Roman"/>
          <w:i/>
          <w:iCs/>
          <w:color w:val="212121"/>
          <w:szCs w:val="22"/>
        </w:rPr>
        <w:t>assignment</w:t>
      </w:r>
      <w:r w:rsidRPr="00E74527">
        <w:rPr>
          <w:rFonts w:ascii="Times New Roman" w:hAnsi="Times New Roman"/>
          <w:color w:val="212121"/>
          <w:szCs w:val="22"/>
        </w:rPr>
        <w:t xml:space="preserve"> di gruppo o test online) e/o al completamento (</w:t>
      </w:r>
      <w:r w:rsidR="00311F7A">
        <w:rPr>
          <w:rFonts w:ascii="Times New Roman" w:hAnsi="Times New Roman"/>
          <w:color w:val="212121"/>
          <w:szCs w:val="22"/>
        </w:rPr>
        <w:t>5</w:t>
      </w:r>
      <w:r w:rsidRPr="00E74527">
        <w:rPr>
          <w:rFonts w:ascii="Times New Roman" w:hAnsi="Times New Roman"/>
          <w:color w:val="212121"/>
          <w:szCs w:val="22"/>
        </w:rPr>
        <w:t xml:space="preserve">0%), se </w:t>
      </w:r>
      <w:r w:rsidRPr="00E74527">
        <w:rPr>
          <w:rFonts w:ascii="Times New Roman" w:hAnsi="Times New Roman"/>
          <w:color w:val="212121"/>
          <w:szCs w:val="22"/>
        </w:rPr>
        <w:lastRenderedPageBreak/>
        <w:t>sufficiente, chiedendo di ripetere tale prova. In caso di rifiuto lo studente può sostenere la prova negli appelli seguenti in modalità sommativa;</w:t>
      </w:r>
    </w:p>
    <w:p w14:paraId="0976B4B8" w14:textId="77777777" w:rsidR="008F2863" w:rsidRPr="008F130E" w:rsidRDefault="008F2863" w:rsidP="008F130E">
      <w:pPr>
        <w:pStyle w:val="Testo2"/>
        <w:numPr>
          <w:ilvl w:val="0"/>
          <w:numId w:val="4"/>
        </w:numPr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color w:val="212121"/>
          <w:szCs w:val="22"/>
        </w:rPr>
        <w:t>è sempre possibile, viceversa, passare dalla valutazione in itinere a quella sommativa, così come rifiutare il voto ottenuto in sede di valutazione sommativa (ripetendo l’esame in modalità sommativa).</w:t>
      </w:r>
    </w:p>
    <w:p w14:paraId="29FFB470" w14:textId="77777777" w:rsidR="008F2863" w:rsidRPr="00E74527" w:rsidRDefault="008F2863" w:rsidP="008F130E">
      <w:pPr>
        <w:pStyle w:val="Testo2"/>
        <w:numPr>
          <w:ilvl w:val="0"/>
          <w:numId w:val="5"/>
        </w:numPr>
        <w:spacing w:before="120"/>
        <w:rPr>
          <w:rFonts w:ascii="Times New Roman" w:hAnsi="Times New Roman"/>
          <w:i/>
          <w:color w:val="212121"/>
          <w:szCs w:val="22"/>
          <w:u w:val="single"/>
        </w:rPr>
      </w:pPr>
      <w:r w:rsidRPr="00E74527">
        <w:rPr>
          <w:rFonts w:ascii="Times New Roman" w:hAnsi="Times New Roman"/>
          <w:i/>
          <w:color w:val="212121"/>
          <w:szCs w:val="22"/>
          <w:u w:val="single"/>
        </w:rPr>
        <w:t>Valutazione unitaria sommativa</w:t>
      </w:r>
    </w:p>
    <w:p w14:paraId="51B9EC00" w14:textId="77777777" w:rsidR="00187D80" w:rsidRPr="00E74527" w:rsidRDefault="008F2863" w:rsidP="008F130E">
      <w:pPr>
        <w:pStyle w:val="Testo2"/>
        <w:rPr>
          <w:rFonts w:ascii="Times New Roman" w:hAnsi="Times New Roman"/>
          <w:color w:val="212121"/>
          <w:szCs w:val="22"/>
        </w:rPr>
      </w:pPr>
      <w:r w:rsidRPr="00E74527">
        <w:rPr>
          <w:rFonts w:ascii="Times New Roman" w:hAnsi="Times New Roman"/>
          <w:color w:val="212121"/>
          <w:szCs w:val="22"/>
        </w:rPr>
        <w:t>Esame orale, preceduto da una prova scritta di selezione erogata nello stesso giorno dell’esame orale e corretta immediatamente; lo studente che supera la prova scritta accede alla prova orale.</w:t>
      </w:r>
    </w:p>
    <w:p w14:paraId="649FA87F" w14:textId="77777777" w:rsidR="00F07BF8" w:rsidRPr="00E74527" w:rsidRDefault="00F07BF8" w:rsidP="00F07BF8">
      <w:pPr>
        <w:tabs>
          <w:tab w:val="clear" w:pos="284"/>
        </w:tabs>
        <w:spacing w:before="240" w:after="120" w:line="220" w:lineRule="exact"/>
        <w:rPr>
          <w:rFonts w:eastAsia="Calibri"/>
          <w:b/>
          <w:i/>
          <w:sz w:val="18"/>
          <w:szCs w:val="18"/>
          <w:lang w:eastAsia="en-US"/>
        </w:rPr>
      </w:pPr>
      <w:r w:rsidRPr="00E74527">
        <w:rPr>
          <w:rFonts w:eastAsia="Calibri"/>
          <w:b/>
          <w:i/>
          <w:sz w:val="18"/>
          <w:szCs w:val="18"/>
          <w:lang w:eastAsia="en-US"/>
        </w:rPr>
        <w:t>AVVERTENZE E PREREQUISITI</w:t>
      </w:r>
    </w:p>
    <w:p w14:paraId="5C0FEA93" w14:textId="77777777" w:rsidR="00F07BF8" w:rsidRPr="00E74527" w:rsidRDefault="00F07BF8" w:rsidP="008F130E">
      <w:pPr>
        <w:spacing w:before="120"/>
        <w:ind w:firstLine="284"/>
        <w:rPr>
          <w:i/>
          <w:noProof/>
        </w:rPr>
      </w:pPr>
      <w:r w:rsidRPr="00E74527">
        <w:rPr>
          <w:i/>
          <w:noProof/>
        </w:rPr>
        <w:t>Conoscenze preliminari</w:t>
      </w:r>
    </w:p>
    <w:p w14:paraId="69A6EC75" w14:textId="77777777" w:rsidR="00F07BF8" w:rsidRPr="00E74527" w:rsidRDefault="00F07BF8" w:rsidP="008F130E">
      <w:pPr>
        <w:ind w:firstLine="284"/>
        <w:rPr>
          <w:noProof/>
          <w:sz w:val="18"/>
          <w:szCs w:val="18"/>
        </w:rPr>
      </w:pPr>
      <w:r w:rsidRPr="00E74527">
        <w:rPr>
          <w:noProof/>
          <w:sz w:val="18"/>
          <w:szCs w:val="18"/>
        </w:rPr>
        <w:t>È richiesta una conoscenza di base dei contenuti e dei principali problemi relativi alla redazione del bilancio d’esercizio. È prerequisito fondamentale la conoscenza della tecnica delle rilevazioni contabili con il metodo della partita doppia.</w:t>
      </w:r>
    </w:p>
    <w:p w14:paraId="43CA234A" w14:textId="77777777" w:rsidR="00F07BF8" w:rsidRPr="00E74527" w:rsidRDefault="00F07BF8" w:rsidP="008F130E">
      <w:pPr>
        <w:ind w:firstLine="284"/>
        <w:rPr>
          <w:noProof/>
          <w:sz w:val="18"/>
          <w:szCs w:val="18"/>
        </w:rPr>
      </w:pPr>
      <w:r w:rsidRPr="00E74527">
        <w:rPr>
          <w:noProof/>
          <w:sz w:val="18"/>
          <w:szCs w:val="18"/>
        </w:rPr>
        <w:t>Gli studenti, eventualmente non in possesso di tali conoscenze preliminari, dovranno acquisirle attraverso un’attività di studio individuale così da potere seguire efficacemente i contenuti proposti in questo insegnamento.</w:t>
      </w:r>
    </w:p>
    <w:p w14:paraId="3CB89F1B" w14:textId="77777777" w:rsidR="00582CE8" w:rsidRPr="00E74527" w:rsidRDefault="00582CE8" w:rsidP="008F130E">
      <w:pPr>
        <w:spacing w:line="240" w:lineRule="atLeast"/>
        <w:ind w:firstLine="284"/>
        <w:rPr>
          <w:noProof/>
          <w:spacing w:val="-5"/>
          <w:sz w:val="18"/>
          <w:szCs w:val="18"/>
        </w:rPr>
      </w:pPr>
      <w:r w:rsidRPr="00E74527">
        <w:rPr>
          <w:noProof/>
          <w:spacing w:val="-5"/>
          <w:sz w:val="18"/>
          <w:szCs w:val="18"/>
        </w:rPr>
        <w:t>A tal fine di suggeriscono i seguenti testi:</w:t>
      </w:r>
    </w:p>
    <w:p w14:paraId="11BCA4C1" w14:textId="77777777" w:rsidR="00E74527" w:rsidRPr="00E74527" w:rsidRDefault="00E74527" w:rsidP="008F130E">
      <w:pPr>
        <w:numPr>
          <w:ilvl w:val="0"/>
          <w:numId w:val="3"/>
        </w:numPr>
        <w:spacing w:line="240" w:lineRule="atLeast"/>
        <w:ind w:left="567" w:hanging="283"/>
        <w:rPr>
          <w:noProof/>
          <w:spacing w:val="-5"/>
          <w:sz w:val="18"/>
          <w:szCs w:val="18"/>
        </w:rPr>
      </w:pPr>
      <w:r w:rsidRPr="008F130E">
        <w:rPr>
          <w:noProof/>
          <w:spacing w:val="-5"/>
          <w:sz w:val="16"/>
          <w:szCs w:val="18"/>
        </w:rPr>
        <w:t xml:space="preserve">AA.VV., </w:t>
      </w:r>
      <w:r w:rsidRPr="00E74527">
        <w:rPr>
          <w:noProof/>
          <w:spacing w:val="-5"/>
          <w:sz w:val="18"/>
          <w:szCs w:val="18"/>
        </w:rPr>
        <w:t xml:space="preserve">a cura di </w:t>
      </w:r>
      <w:r w:rsidRPr="008F130E">
        <w:rPr>
          <w:smallCaps/>
          <w:noProof/>
          <w:spacing w:val="-5"/>
          <w:sz w:val="16"/>
          <w:szCs w:val="18"/>
        </w:rPr>
        <w:t>A. Palma</w:t>
      </w:r>
      <w:r w:rsidRPr="00E74527">
        <w:rPr>
          <w:noProof/>
          <w:spacing w:val="-5"/>
          <w:sz w:val="18"/>
          <w:szCs w:val="18"/>
        </w:rPr>
        <w:t xml:space="preserve">, </w:t>
      </w:r>
      <w:r w:rsidRPr="00E74527">
        <w:rPr>
          <w:i/>
          <w:noProof/>
          <w:spacing w:val="-5"/>
          <w:sz w:val="18"/>
          <w:szCs w:val="18"/>
        </w:rPr>
        <w:t>Il bilancio di esercizio</w:t>
      </w:r>
      <w:r w:rsidRPr="00E74527">
        <w:rPr>
          <w:noProof/>
          <w:spacing w:val="-5"/>
          <w:sz w:val="18"/>
          <w:szCs w:val="18"/>
        </w:rPr>
        <w:t>, V Edizione, Milano, 2016;</w:t>
      </w:r>
    </w:p>
    <w:p w14:paraId="0D0940B4" w14:textId="77777777" w:rsidR="00582CE8" w:rsidRPr="00E74527" w:rsidRDefault="008F130E" w:rsidP="008F130E">
      <w:pPr>
        <w:numPr>
          <w:ilvl w:val="0"/>
          <w:numId w:val="3"/>
        </w:numPr>
        <w:spacing w:line="240" w:lineRule="atLeast"/>
        <w:ind w:left="567" w:hanging="283"/>
        <w:rPr>
          <w:noProof/>
          <w:spacing w:val="-5"/>
          <w:sz w:val="18"/>
          <w:szCs w:val="18"/>
        </w:rPr>
      </w:pPr>
      <w:r w:rsidRPr="008F130E">
        <w:rPr>
          <w:smallCaps/>
          <w:noProof/>
          <w:spacing w:val="-5"/>
          <w:sz w:val="16"/>
          <w:szCs w:val="18"/>
        </w:rPr>
        <w:t xml:space="preserve">G. </w:t>
      </w:r>
      <w:r w:rsidR="00582CE8" w:rsidRPr="008F130E">
        <w:rPr>
          <w:smallCaps/>
          <w:noProof/>
          <w:spacing w:val="-5"/>
          <w:sz w:val="16"/>
          <w:szCs w:val="18"/>
        </w:rPr>
        <w:t>Brunetti</w:t>
      </w:r>
      <w:r w:rsidR="00582CE8" w:rsidRPr="00E74527">
        <w:rPr>
          <w:noProof/>
          <w:spacing w:val="-5"/>
          <w:sz w:val="18"/>
          <w:szCs w:val="18"/>
        </w:rPr>
        <w:t xml:space="preserve">, </w:t>
      </w:r>
      <w:r w:rsidR="00582CE8" w:rsidRPr="00E74527">
        <w:rPr>
          <w:i/>
          <w:noProof/>
          <w:spacing w:val="-5"/>
          <w:sz w:val="18"/>
          <w:szCs w:val="18"/>
        </w:rPr>
        <w:t>Contabilità e bilancio d’esercizio</w:t>
      </w:r>
      <w:r w:rsidR="00582CE8" w:rsidRPr="00E74527">
        <w:rPr>
          <w:noProof/>
          <w:spacing w:val="-5"/>
          <w:sz w:val="18"/>
          <w:szCs w:val="18"/>
        </w:rPr>
        <w:t>, Milano, ultima edizione;</w:t>
      </w:r>
    </w:p>
    <w:p w14:paraId="370402E5" w14:textId="781733B5" w:rsidR="00582CE8" w:rsidRPr="00E74527" w:rsidRDefault="008F130E" w:rsidP="008F130E">
      <w:pPr>
        <w:numPr>
          <w:ilvl w:val="0"/>
          <w:numId w:val="3"/>
        </w:numPr>
        <w:tabs>
          <w:tab w:val="clear" w:pos="284"/>
        </w:tabs>
        <w:spacing w:line="240" w:lineRule="atLeast"/>
        <w:ind w:left="567" w:hanging="283"/>
        <w:rPr>
          <w:color w:val="212121"/>
          <w:sz w:val="18"/>
          <w:szCs w:val="18"/>
        </w:rPr>
      </w:pPr>
      <w:r w:rsidRPr="008F130E">
        <w:rPr>
          <w:smallCaps/>
          <w:noProof/>
          <w:spacing w:val="-5"/>
          <w:sz w:val="16"/>
          <w:szCs w:val="18"/>
        </w:rPr>
        <w:t xml:space="preserve">A. </w:t>
      </w:r>
      <w:r w:rsidR="0036558C" w:rsidRPr="008F130E">
        <w:rPr>
          <w:smallCaps/>
          <w:noProof/>
          <w:spacing w:val="-5"/>
          <w:sz w:val="16"/>
          <w:szCs w:val="18"/>
        </w:rPr>
        <w:t>Cortesi</w:t>
      </w:r>
      <w:r w:rsidRPr="008F130E">
        <w:rPr>
          <w:noProof/>
          <w:spacing w:val="-5"/>
          <w:sz w:val="16"/>
          <w:szCs w:val="18"/>
        </w:rPr>
        <w:t xml:space="preserve">-P. </w:t>
      </w:r>
      <w:r w:rsidR="0036558C" w:rsidRPr="008F130E">
        <w:rPr>
          <w:smallCaps/>
          <w:noProof/>
          <w:spacing w:val="-5"/>
          <w:sz w:val="16"/>
          <w:szCs w:val="18"/>
        </w:rPr>
        <w:t>Tettamanzi</w:t>
      </w:r>
      <w:r w:rsidRPr="008F130E">
        <w:rPr>
          <w:noProof/>
          <w:spacing w:val="-5"/>
          <w:sz w:val="16"/>
          <w:szCs w:val="18"/>
        </w:rPr>
        <w:t>-C.</w:t>
      </w:r>
      <w:r w:rsidR="00311F7A">
        <w:rPr>
          <w:noProof/>
          <w:spacing w:val="-5"/>
          <w:sz w:val="16"/>
          <w:szCs w:val="18"/>
        </w:rPr>
        <w:t xml:space="preserve"> </w:t>
      </w:r>
      <w:r w:rsidR="0036558C" w:rsidRPr="008F130E">
        <w:rPr>
          <w:smallCaps/>
          <w:noProof/>
          <w:spacing w:val="-5"/>
          <w:sz w:val="16"/>
          <w:szCs w:val="18"/>
        </w:rPr>
        <w:t>Mancini</w:t>
      </w:r>
      <w:r w:rsidR="0036558C" w:rsidRPr="008F130E">
        <w:rPr>
          <w:noProof/>
          <w:spacing w:val="-5"/>
          <w:sz w:val="16"/>
          <w:szCs w:val="18"/>
        </w:rPr>
        <w:t xml:space="preserve">, </w:t>
      </w:r>
      <w:r w:rsidR="0036558C" w:rsidRPr="00E74527">
        <w:rPr>
          <w:i/>
          <w:noProof/>
          <w:spacing w:val="-5"/>
          <w:sz w:val="18"/>
          <w:szCs w:val="18"/>
        </w:rPr>
        <w:t>Contabilità e bilancio</w:t>
      </w:r>
      <w:r w:rsidR="0036558C" w:rsidRPr="00E74527">
        <w:rPr>
          <w:noProof/>
          <w:spacing w:val="-5"/>
          <w:sz w:val="18"/>
          <w:szCs w:val="18"/>
        </w:rPr>
        <w:t xml:space="preserve">, </w:t>
      </w:r>
      <w:r w:rsidR="0036558C" w:rsidRPr="00E74527">
        <w:rPr>
          <w:noProof/>
          <w:spacing w:val="-5"/>
          <w:sz w:val="16"/>
          <w:szCs w:val="16"/>
        </w:rPr>
        <w:t>Wolters Kluwer, Milano, 2018</w:t>
      </w:r>
      <w:r w:rsidR="00E74527" w:rsidRPr="00E74527">
        <w:rPr>
          <w:noProof/>
          <w:spacing w:val="-5"/>
          <w:sz w:val="16"/>
          <w:szCs w:val="16"/>
        </w:rPr>
        <w:t>;</w:t>
      </w:r>
    </w:p>
    <w:p w14:paraId="2FEFEC4D" w14:textId="77777777" w:rsidR="00E74527" w:rsidRPr="008F130E" w:rsidRDefault="008F130E" w:rsidP="008F130E">
      <w:pPr>
        <w:numPr>
          <w:ilvl w:val="0"/>
          <w:numId w:val="3"/>
        </w:numPr>
        <w:spacing w:line="240" w:lineRule="atLeast"/>
        <w:ind w:left="567" w:hanging="283"/>
        <w:rPr>
          <w:color w:val="212121"/>
          <w:sz w:val="18"/>
          <w:szCs w:val="18"/>
        </w:rPr>
      </w:pPr>
      <w:r w:rsidRPr="008F130E">
        <w:rPr>
          <w:smallCaps/>
          <w:noProof/>
          <w:spacing w:val="-5"/>
          <w:sz w:val="16"/>
          <w:szCs w:val="18"/>
        </w:rPr>
        <w:t xml:space="preserve">C. </w:t>
      </w:r>
      <w:r w:rsidR="00E74527" w:rsidRPr="008F130E">
        <w:rPr>
          <w:smallCaps/>
          <w:noProof/>
          <w:spacing w:val="-5"/>
          <w:sz w:val="16"/>
          <w:szCs w:val="18"/>
        </w:rPr>
        <w:t>Sottoriva</w:t>
      </w:r>
      <w:r w:rsidR="00E74527" w:rsidRPr="00E74527">
        <w:rPr>
          <w:noProof/>
          <w:spacing w:val="-5"/>
          <w:sz w:val="18"/>
          <w:szCs w:val="18"/>
        </w:rPr>
        <w:t xml:space="preserve">, </w:t>
      </w:r>
      <w:r w:rsidR="00E74527" w:rsidRPr="00E74527">
        <w:rPr>
          <w:i/>
          <w:noProof/>
          <w:spacing w:val="-5"/>
          <w:sz w:val="18"/>
          <w:szCs w:val="18"/>
        </w:rPr>
        <w:t>La redazione del bilancio di esercizio secondo il D.Lgs. 139/2015 e secondo i principi contabili nazionali</w:t>
      </w:r>
      <w:r w:rsidR="00E74527" w:rsidRPr="00E74527">
        <w:rPr>
          <w:noProof/>
          <w:spacing w:val="-5"/>
          <w:sz w:val="18"/>
          <w:szCs w:val="18"/>
        </w:rPr>
        <w:t>, II Edizione, Wolters Kluwer, Milano, 2018.</w:t>
      </w:r>
    </w:p>
    <w:p w14:paraId="22490909" w14:textId="77777777" w:rsidR="008F130E" w:rsidRPr="00D04C03" w:rsidRDefault="008F130E" w:rsidP="008F130E">
      <w:pPr>
        <w:ind w:firstLine="284"/>
        <w:rPr>
          <w:sz w:val="18"/>
          <w:szCs w:val="18"/>
        </w:rPr>
      </w:pPr>
      <w:r w:rsidRPr="0034725D">
        <w:rPr>
          <w:sz w:val="18"/>
          <w:szCs w:val="18"/>
        </w:rPr>
        <w:t xml:space="preserve">Nel caso in cui la situazione sanitaria relativa alla pandemia di Covid-19 non dovesse consentire la didattica in presenza, sarà garantita l’erogazione dell’insegnamento in </w:t>
      </w:r>
      <w:proofErr w:type="spellStart"/>
      <w:r w:rsidRPr="002F5E7C">
        <w:rPr>
          <w:i/>
          <w:sz w:val="18"/>
          <w:szCs w:val="18"/>
        </w:rPr>
        <w:t>distance</w:t>
      </w:r>
      <w:proofErr w:type="spellEnd"/>
      <w:r w:rsidRPr="002F5E7C">
        <w:rPr>
          <w:i/>
          <w:sz w:val="18"/>
          <w:szCs w:val="18"/>
        </w:rPr>
        <w:t xml:space="preserve"> </w:t>
      </w:r>
      <w:proofErr w:type="spellStart"/>
      <w:r w:rsidRPr="002F5E7C">
        <w:rPr>
          <w:i/>
          <w:sz w:val="18"/>
          <w:szCs w:val="18"/>
        </w:rPr>
        <w:t>learning</w:t>
      </w:r>
      <w:proofErr w:type="spellEnd"/>
      <w:r w:rsidRPr="0034725D">
        <w:rPr>
          <w:sz w:val="18"/>
          <w:szCs w:val="18"/>
        </w:rPr>
        <w:t xml:space="preserve"> con modalità che verranno comunicate in tempo utile agli studenti.</w:t>
      </w:r>
    </w:p>
    <w:p w14:paraId="66EC678C" w14:textId="77777777" w:rsidR="008F130E" w:rsidRPr="00E74527" w:rsidRDefault="008F130E" w:rsidP="008F130E">
      <w:pPr>
        <w:spacing w:line="240" w:lineRule="atLeast"/>
        <w:ind w:left="284"/>
        <w:rPr>
          <w:color w:val="212121"/>
          <w:sz w:val="18"/>
          <w:szCs w:val="18"/>
        </w:rPr>
      </w:pPr>
    </w:p>
    <w:sectPr w:rsidR="008F130E" w:rsidRPr="00E7452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A1F2C" w14:textId="77777777" w:rsidR="00EE5031" w:rsidRDefault="00EE5031" w:rsidP="00187D80">
      <w:pPr>
        <w:spacing w:line="240" w:lineRule="auto"/>
      </w:pPr>
      <w:r>
        <w:separator/>
      </w:r>
    </w:p>
  </w:endnote>
  <w:endnote w:type="continuationSeparator" w:id="0">
    <w:p w14:paraId="478A8ED6" w14:textId="77777777" w:rsidR="00EE5031" w:rsidRDefault="00EE5031" w:rsidP="00187D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5EE1B" w14:textId="77777777" w:rsidR="00EE5031" w:rsidRDefault="00EE5031" w:rsidP="00187D80">
      <w:pPr>
        <w:spacing w:line="240" w:lineRule="auto"/>
      </w:pPr>
      <w:r>
        <w:separator/>
      </w:r>
    </w:p>
  </w:footnote>
  <w:footnote w:type="continuationSeparator" w:id="0">
    <w:p w14:paraId="734CA3E4" w14:textId="77777777" w:rsidR="00EE5031" w:rsidRDefault="00EE5031" w:rsidP="00187D80">
      <w:pPr>
        <w:spacing w:line="240" w:lineRule="auto"/>
      </w:pPr>
      <w:r>
        <w:continuationSeparator/>
      </w:r>
    </w:p>
  </w:footnote>
  <w:footnote w:id="1">
    <w:p w14:paraId="14D8CBE4" w14:textId="7F0EE517" w:rsidR="00A92FF2" w:rsidRDefault="00A92FF2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2FFC"/>
    <w:multiLevelType w:val="hybridMultilevel"/>
    <w:tmpl w:val="C4848D48"/>
    <w:lvl w:ilvl="0" w:tplc="26C81C3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CC05A95"/>
    <w:multiLevelType w:val="hybridMultilevel"/>
    <w:tmpl w:val="64F2FDE2"/>
    <w:lvl w:ilvl="0" w:tplc="ECB8FC2A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767EE9"/>
    <w:multiLevelType w:val="hybridMultilevel"/>
    <w:tmpl w:val="CBECAA04"/>
    <w:lvl w:ilvl="0" w:tplc="BD7CE94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D7E1360"/>
    <w:multiLevelType w:val="hybridMultilevel"/>
    <w:tmpl w:val="3956165A"/>
    <w:lvl w:ilvl="0" w:tplc="FDAC4FC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634351C1"/>
    <w:multiLevelType w:val="hybridMultilevel"/>
    <w:tmpl w:val="390ABF04"/>
    <w:lvl w:ilvl="0" w:tplc="012EBBC0">
      <w:start w:val="5"/>
      <w:numFmt w:val="bullet"/>
      <w:lvlText w:val="-"/>
      <w:lvlJc w:val="left"/>
      <w:pPr>
        <w:ind w:left="360" w:hanging="360"/>
      </w:pPr>
      <w:rPr>
        <w:rFonts w:ascii="Times" w:eastAsia="Times New Roman" w:hAnsi="Times" w:cs="Time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114996"/>
    <w:rsid w:val="00167DA9"/>
    <w:rsid w:val="00187B99"/>
    <w:rsid w:val="00187D80"/>
    <w:rsid w:val="001A38F6"/>
    <w:rsid w:val="002014DD"/>
    <w:rsid w:val="002861B5"/>
    <w:rsid w:val="002A2AAA"/>
    <w:rsid w:val="002F5E7C"/>
    <w:rsid w:val="00303AE2"/>
    <w:rsid w:val="00311F7A"/>
    <w:rsid w:val="0036558C"/>
    <w:rsid w:val="003A438B"/>
    <w:rsid w:val="004D1217"/>
    <w:rsid w:val="004D6008"/>
    <w:rsid w:val="005027BA"/>
    <w:rsid w:val="00582CE8"/>
    <w:rsid w:val="006418E5"/>
    <w:rsid w:val="006F009C"/>
    <w:rsid w:val="006F1772"/>
    <w:rsid w:val="008A1204"/>
    <w:rsid w:val="008F130E"/>
    <w:rsid w:val="008F2863"/>
    <w:rsid w:val="00900CCA"/>
    <w:rsid w:val="00924B77"/>
    <w:rsid w:val="00940DA2"/>
    <w:rsid w:val="00956849"/>
    <w:rsid w:val="009E055C"/>
    <w:rsid w:val="00A74F6F"/>
    <w:rsid w:val="00A92FF2"/>
    <w:rsid w:val="00AD7557"/>
    <w:rsid w:val="00B51253"/>
    <w:rsid w:val="00B525CC"/>
    <w:rsid w:val="00D404F2"/>
    <w:rsid w:val="00D80414"/>
    <w:rsid w:val="00E607E6"/>
    <w:rsid w:val="00E74527"/>
    <w:rsid w:val="00EC3B27"/>
    <w:rsid w:val="00EE5031"/>
    <w:rsid w:val="00F0287C"/>
    <w:rsid w:val="00F07BF8"/>
    <w:rsid w:val="00F9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48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87D80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80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87D80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87D8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87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7D8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F07BF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F07BF8"/>
  </w:style>
  <w:style w:type="character" w:styleId="Collegamentoipertestuale">
    <w:name w:val="Hyperlink"/>
    <w:basedOn w:val="Carpredefinitoparagrafo"/>
    <w:unhideWhenUsed/>
    <w:rsid w:val="008F286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92FF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92FF2"/>
  </w:style>
  <w:style w:type="character" w:styleId="Rimandonotaapidipagina">
    <w:name w:val="footnote reference"/>
    <w:basedOn w:val="Carpredefinitoparagrafo"/>
    <w:semiHidden/>
    <w:unhideWhenUsed/>
    <w:rsid w:val="00A92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87D80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7D80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nhideWhenUsed/>
    <w:rsid w:val="00187D80"/>
    <w:pPr>
      <w:tabs>
        <w:tab w:val="clear" w:pos="284"/>
        <w:tab w:val="center" w:pos="4819"/>
        <w:tab w:val="right" w:pos="9638"/>
      </w:tabs>
      <w:spacing w:line="240" w:lineRule="auto"/>
    </w:pPr>
    <w:rPr>
      <w:rFonts w:eastAsia="Calibri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187D80"/>
    <w:rPr>
      <w:rFonts w:eastAsia="Calibri"/>
      <w:szCs w:val="22"/>
      <w:lang w:eastAsia="en-US"/>
    </w:rPr>
  </w:style>
  <w:style w:type="paragraph" w:styleId="Testofumetto">
    <w:name w:val="Balloon Text"/>
    <w:basedOn w:val="Normale"/>
    <w:link w:val="TestofumettoCarattere"/>
    <w:semiHidden/>
    <w:unhideWhenUsed/>
    <w:rsid w:val="00187D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187D80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e"/>
    <w:rsid w:val="00F07BF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character" w:customStyle="1" w:styleId="xapple-converted-space">
    <w:name w:val="x_apple-converted-space"/>
    <w:basedOn w:val="Carpredefinitoparagrafo"/>
    <w:rsid w:val="00F07BF8"/>
  </w:style>
  <w:style w:type="character" w:styleId="Collegamentoipertestuale">
    <w:name w:val="Hyperlink"/>
    <w:basedOn w:val="Carpredefinitoparagrafo"/>
    <w:unhideWhenUsed/>
    <w:rsid w:val="008F2863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A92FF2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92FF2"/>
  </w:style>
  <w:style w:type="character" w:styleId="Rimandonotaapidipagina">
    <w:name w:val="footnote reference"/>
    <w:basedOn w:val="Carpredefinitoparagrafo"/>
    <w:semiHidden/>
    <w:unhideWhenUsed/>
    <w:rsid w:val="00A92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78CFB-7FBB-43F7-8EF9-D476A976C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1317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3</cp:revision>
  <cp:lastPrinted>2018-05-24T08:48:00Z</cp:lastPrinted>
  <dcterms:created xsi:type="dcterms:W3CDTF">2021-05-12T12:57:00Z</dcterms:created>
  <dcterms:modified xsi:type="dcterms:W3CDTF">2021-06-30T08:54:00Z</dcterms:modified>
</cp:coreProperties>
</file>