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FA973" w14:textId="77777777" w:rsidR="00982C99" w:rsidRPr="001075E9" w:rsidRDefault="00982C99" w:rsidP="00982C99">
      <w:pPr>
        <w:pStyle w:val="Titolo1"/>
      </w:pPr>
      <w:r w:rsidRPr="001075E9">
        <w:t>Gestione del portafoglio</w:t>
      </w:r>
    </w:p>
    <w:p w14:paraId="14A46989" w14:textId="77777777" w:rsidR="00982C99" w:rsidRPr="001075E9" w:rsidRDefault="00982C99" w:rsidP="00982C99">
      <w:pPr>
        <w:pStyle w:val="Titolo2"/>
      </w:pPr>
      <w:r w:rsidRPr="001075E9">
        <w:t>Prof. Massimo Belcredi; Prof. Lorenzo Caprio</w:t>
      </w:r>
    </w:p>
    <w:p w14:paraId="02716E90" w14:textId="77777777" w:rsidR="00982C99" w:rsidRDefault="00982C99" w:rsidP="00982C99">
      <w:pPr>
        <w:spacing w:before="240" w:after="120"/>
        <w:rPr>
          <w:b/>
          <w:sz w:val="18"/>
        </w:rPr>
      </w:pPr>
      <w:r>
        <w:rPr>
          <w:b/>
          <w:i/>
          <w:sz w:val="18"/>
        </w:rPr>
        <w:t>OBIETTIVO DEL CORSO E RISULTATI DI APPRENDIMENTO ATTESI</w:t>
      </w:r>
    </w:p>
    <w:p w14:paraId="54AB29DB" w14:textId="5C0F4404" w:rsidR="00982C99" w:rsidRPr="001075E9" w:rsidRDefault="00982C99" w:rsidP="00530185">
      <w:pPr>
        <w:rPr>
          <w:rFonts w:eastAsia="Calibri"/>
          <w:lang w:eastAsia="en-US"/>
        </w:rPr>
      </w:pPr>
      <w:r w:rsidRPr="001075E9">
        <w:rPr>
          <w:rFonts w:eastAsia="Calibri"/>
          <w:lang w:eastAsia="en-US"/>
        </w:rPr>
        <w:t xml:space="preserve">Il corso si propone di offrire una </w:t>
      </w:r>
      <w:r>
        <w:rPr>
          <w:rFonts w:eastAsia="Calibri"/>
          <w:lang w:eastAsia="en-US"/>
        </w:rPr>
        <w:t xml:space="preserve">panoramica </w:t>
      </w:r>
      <w:r w:rsidRPr="001075E9">
        <w:rPr>
          <w:rFonts w:eastAsia="Calibri"/>
          <w:lang w:eastAsia="en-US"/>
        </w:rPr>
        <w:t xml:space="preserve">dei </w:t>
      </w:r>
      <w:r>
        <w:rPr>
          <w:rFonts w:eastAsia="Calibri"/>
          <w:lang w:eastAsia="en-US"/>
        </w:rPr>
        <w:t xml:space="preserve">processi di investimento sui mercati finanziari e </w:t>
      </w:r>
      <w:r w:rsidRPr="001075E9">
        <w:rPr>
          <w:rFonts w:eastAsia="Calibri"/>
          <w:lang w:eastAsia="en-US"/>
        </w:rPr>
        <w:t>di portfolio management</w:t>
      </w:r>
      <w:r>
        <w:rPr>
          <w:rFonts w:eastAsia="Calibri"/>
          <w:lang w:eastAsia="en-US"/>
        </w:rPr>
        <w:t>. Dopo una parte introduttiva in cui si richiamano obiettivi e vincoli dell’investitore, struttura dell’industry dell’asset management e principi alla base delle decisioni di investimento sul mercato finanziario, il corso si concentra sulle possibili strategie di gestione del portafoglio, distinguendo tra strategie attive e passive, nonché tra componente azionaria e obbligazionaria del portafoglio.</w:t>
      </w:r>
    </w:p>
    <w:p w14:paraId="4571A275" w14:textId="77777777" w:rsidR="00982C99" w:rsidRPr="001075E9" w:rsidRDefault="00982C99" w:rsidP="00530185">
      <w:r w:rsidRPr="001075E9">
        <w:t>Al termine del corso gli studenti devono:</w:t>
      </w:r>
    </w:p>
    <w:p w14:paraId="33724290" w14:textId="77777777" w:rsidR="00982C99" w:rsidRPr="001075E9" w:rsidRDefault="00530185" w:rsidP="00530185">
      <w:pPr>
        <w:ind w:left="284" w:hanging="284"/>
      </w:pPr>
      <w:r>
        <w:t>1.</w:t>
      </w:r>
      <w:r>
        <w:tab/>
      </w:r>
      <w:r w:rsidR="00982C99" w:rsidRPr="001075E9">
        <w:t xml:space="preserve">aver acquisito la conoscenza e la comprensione dei concetti-base della materia, utilizzabili per interpretare le principali decisioni </w:t>
      </w:r>
      <w:r w:rsidR="00982C99">
        <w:t>di portafoglio</w:t>
      </w:r>
      <w:r w:rsidR="00982C99" w:rsidRPr="001075E9">
        <w:t>.</w:t>
      </w:r>
    </w:p>
    <w:p w14:paraId="417062E8" w14:textId="77777777" w:rsidR="00982C99" w:rsidRPr="001075E9" w:rsidRDefault="00530185" w:rsidP="00530185">
      <w:pPr>
        <w:ind w:left="284" w:hanging="284"/>
      </w:pPr>
      <w:r>
        <w:t>2.</w:t>
      </w:r>
      <w:r>
        <w:tab/>
      </w:r>
      <w:r w:rsidR="00982C99" w:rsidRPr="001075E9">
        <w:t xml:space="preserve">aver acquisito la capacità di applicare tali conoscenze al fine di </w:t>
      </w:r>
      <w:r w:rsidR="00982C99">
        <w:t xml:space="preserve">definire strategie </w:t>
      </w:r>
      <w:r w:rsidR="00982C99" w:rsidRPr="001075E9">
        <w:t>di</w:t>
      </w:r>
      <w:r w:rsidR="00982C99">
        <w:t xml:space="preserve"> portafoglio</w:t>
      </w:r>
      <w:r w:rsidR="00982C99" w:rsidRPr="001075E9">
        <w:t>, in un contesto semplificato.</w:t>
      </w:r>
    </w:p>
    <w:p w14:paraId="0F8F3AE5" w14:textId="77777777" w:rsidR="00982C99" w:rsidRPr="001075E9" w:rsidRDefault="00530185" w:rsidP="00530185">
      <w:pPr>
        <w:ind w:left="284" w:hanging="284"/>
      </w:pPr>
      <w:r>
        <w:t>3.</w:t>
      </w:r>
      <w:r>
        <w:tab/>
      </w:r>
      <w:r w:rsidR="00982C99" w:rsidRPr="001075E9">
        <w:t xml:space="preserve">avere acquisito la capacità di raccogliere e interpretare i dati ritenuti utili come fondamento delle decisioni </w:t>
      </w:r>
      <w:r w:rsidR="00982C99">
        <w:t xml:space="preserve">di portafoglio </w:t>
      </w:r>
      <w:r w:rsidR="00982C99" w:rsidRPr="001075E9">
        <w:t>e a determinare giudizi autonomi</w:t>
      </w:r>
      <w:r w:rsidR="00982C99">
        <w:t xml:space="preserve"> sulla performance di un gestore di portafoglio</w:t>
      </w:r>
      <w:r w:rsidR="00982C99" w:rsidRPr="001075E9">
        <w:t>.</w:t>
      </w:r>
    </w:p>
    <w:p w14:paraId="04D32A27" w14:textId="77777777" w:rsidR="00982C99" w:rsidRPr="001075E9" w:rsidRDefault="00530185" w:rsidP="00530185">
      <w:pPr>
        <w:ind w:left="284" w:hanging="284"/>
      </w:pPr>
      <w:r>
        <w:t>4.</w:t>
      </w:r>
      <w:r>
        <w:tab/>
      </w:r>
      <w:r w:rsidR="00982C99" w:rsidRPr="001075E9">
        <w:t>avere acquisito un linguaggio tecnico che consenta loro di comunicare con chiarezza ed efficacia le conoscenze acquisite.</w:t>
      </w:r>
    </w:p>
    <w:p w14:paraId="3404CE2B" w14:textId="77777777" w:rsidR="00982C99" w:rsidRDefault="00530185" w:rsidP="00530185">
      <w:pPr>
        <w:ind w:left="284" w:hanging="284"/>
      </w:pPr>
      <w:r>
        <w:t>5.</w:t>
      </w:r>
      <w:r>
        <w:tab/>
      </w:r>
      <w:r w:rsidR="00982C99" w:rsidRPr="001075E9">
        <w:t xml:space="preserve">avere sviluppato capacità di apprendimento necessarie per svolgere </w:t>
      </w:r>
      <w:r w:rsidR="00982C99">
        <w:t xml:space="preserve">autonomamente </w:t>
      </w:r>
      <w:r w:rsidR="00982C99" w:rsidRPr="001075E9">
        <w:t>ulteriori approfondimenti</w:t>
      </w:r>
      <w:r w:rsidR="00982C99">
        <w:t xml:space="preserve"> in materia</w:t>
      </w:r>
      <w:r w:rsidR="00982C99" w:rsidRPr="001075E9">
        <w:t>.</w:t>
      </w:r>
    </w:p>
    <w:p w14:paraId="376623B5" w14:textId="77777777" w:rsidR="00982C99" w:rsidRDefault="00982C99" w:rsidP="00982C99">
      <w:pPr>
        <w:spacing w:before="240" w:after="120"/>
        <w:rPr>
          <w:b/>
          <w:sz w:val="18"/>
        </w:rPr>
      </w:pPr>
      <w:r>
        <w:rPr>
          <w:b/>
          <w:i/>
          <w:sz w:val="18"/>
        </w:rPr>
        <w:t>PROGRAMMA DEL CORSO</w:t>
      </w:r>
    </w:p>
    <w:p w14:paraId="6474B9A8" w14:textId="77777777" w:rsidR="00982C99" w:rsidRPr="00530185" w:rsidRDefault="00982C99" w:rsidP="00530185">
      <w:pPr>
        <w:pStyle w:val="Paragrafoelenco"/>
        <w:numPr>
          <w:ilvl w:val="0"/>
          <w:numId w:val="4"/>
        </w:numPr>
        <w:ind w:left="284" w:hanging="284"/>
        <w:rPr>
          <w:rFonts w:eastAsia="Calibri"/>
          <w:i/>
          <w:lang w:eastAsia="en-US"/>
        </w:rPr>
      </w:pPr>
      <w:r w:rsidRPr="00530185">
        <w:rPr>
          <w:rFonts w:eastAsia="Calibri"/>
          <w:i/>
          <w:lang w:eastAsia="en-US"/>
        </w:rPr>
        <w:t>Il processo di investimento</w:t>
      </w:r>
    </w:p>
    <w:p w14:paraId="6D03593D" w14:textId="77777777" w:rsidR="00982C99" w:rsidRPr="00530185" w:rsidRDefault="00982C99" w:rsidP="00530185">
      <w:pPr>
        <w:pStyle w:val="Paragrafoelenco"/>
        <w:numPr>
          <w:ilvl w:val="1"/>
          <w:numId w:val="4"/>
        </w:numPr>
        <w:ind w:hanging="436"/>
        <w:rPr>
          <w:rFonts w:eastAsia="Calibri"/>
          <w:lang w:eastAsia="en-US"/>
        </w:rPr>
      </w:pPr>
      <w:r w:rsidRPr="00530185">
        <w:rPr>
          <w:rFonts w:eastAsia="Calibri"/>
          <w:lang w:eastAsia="en-US"/>
        </w:rPr>
        <w:t>Obiettivi e vincoli dell’investitore individuale e istituzionale</w:t>
      </w:r>
    </w:p>
    <w:p w14:paraId="348378FD" w14:textId="77777777" w:rsidR="00982C99" w:rsidRPr="00530185" w:rsidRDefault="00982C99" w:rsidP="00530185">
      <w:pPr>
        <w:pStyle w:val="Paragrafoelenco"/>
        <w:numPr>
          <w:ilvl w:val="1"/>
          <w:numId w:val="4"/>
        </w:numPr>
        <w:ind w:hanging="436"/>
        <w:rPr>
          <w:rFonts w:eastAsia="Calibri"/>
          <w:lang w:eastAsia="en-US"/>
        </w:rPr>
      </w:pPr>
      <w:r w:rsidRPr="00530185">
        <w:rPr>
          <w:rFonts w:eastAsia="Calibri"/>
          <w:lang w:eastAsia="en-US"/>
        </w:rPr>
        <w:t>Fasi del processo e policy statement</w:t>
      </w:r>
    </w:p>
    <w:p w14:paraId="32C55741" w14:textId="77777777" w:rsidR="00982C99" w:rsidRPr="00530185" w:rsidRDefault="00982C99" w:rsidP="00530185">
      <w:pPr>
        <w:pStyle w:val="Paragrafoelenco"/>
        <w:numPr>
          <w:ilvl w:val="1"/>
          <w:numId w:val="4"/>
        </w:numPr>
        <w:ind w:hanging="436"/>
        <w:rPr>
          <w:rFonts w:eastAsia="Calibri"/>
          <w:lang w:eastAsia="en-US"/>
        </w:rPr>
      </w:pPr>
      <w:r w:rsidRPr="00530185">
        <w:rPr>
          <w:rFonts w:eastAsia="Calibri"/>
          <w:lang w:eastAsia="en-US"/>
        </w:rPr>
        <w:t>Asset classes e asset allocation</w:t>
      </w:r>
    </w:p>
    <w:p w14:paraId="57B12E2E" w14:textId="77777777" w:rsidR="00982C99" w:rsidRPr="00530185" w:rsidRDefault="00982C99" w:rsidP="00530185">
      <w:pPr>
        <w:pStyle w:val="Paragrafoelenco"/>
        <w:numPr>
          <w:ilvl w:val="1"/>
          <w:numId w:val="4"/>
        </w:numPr>
        <w:ind w:hanging="436"/>
        <w:rPr>
          <w:rFonts w:eastAsia="Calibri"/>
          <w:lang w:eastAsia="en-US"/>
        </w:rPr>
      </w:pPr>
      <w:r w:rsidRPr="00530185">
        <w:rPr>
          <w:rFonts w:eastAsia="Calibri"/>
          <w:lang w:eastAsia="en-US"/>
        </w:rPr>
        <w:t>L’industria dell’asset management e i prodotti da essa offerti</w:t>
      </w:r>
    </w:p>
    <w:p w14:paraId="4345852F" w14:textId="4D605BB6" w:rsidR="00530185" w:rsidRDefault="00982C99" w:rsidP="00530185">
      <w:pPr>
        <w:pStyle w:val="Paragrafoelenco"/>
        <w:numPr>
          <w:ilvl w:val="1"/>
          <w:numId w:val="4"/>
        </w:numPr>
        <w:ind w:hanging="436"/>
        <w:rPr>
          <w:rFonts w:eastAsia="Calibri"/>
          <w:lang w:eastAsia="en-US"/>
        </w:rPr>
      </w:pPr>
      <w:r w:rsidRPr="00530185">
        <w:rPr>
          <w:rFonts w:eastAsia="Calibri"/>
          <w:lang w:eastAsia="en-US"/>
        </w:rPr>
        <w:t>I costi dei fondi di investimento</w:t>
      </w:r>
    </w:p>
    <w:p w14:paraId="51907C2D" w14:textId="12824B21" w:rsidR="00982C99" w:rsidRPr="00530185" w:rsidRDefault="009402AE" w:rsidP="00530185">
      <w:pPr>
        <w:pStyle w:val="Paragrafoelenco"/>
        <w:numPr>
          <w:ilvl w:val="0"/>
          <w:numId w:val="4"/>
        </w:numPr>
        <w:ind w:left="284" w:hanging="284"/>
        <w:rPr>
          <w:rFonts w:eastAsia="Calibri"/>
          <w:i/>
          <w:lang w:eastAsia="en-US"/>
        </w:rPr>
      </w:pPr>
      <w:r>
        <w:rPr>
          <w:rFonts w:eastAsia="Calibri"/>
          <w:i/>
          <w:lang w:eastAsia="en-US"/>
        </w:rPr>
        <w:t>Il processo di selezione dei portafogli azionari: la correlazione dei rendimenti e il single-index model</w:t>
      </w:r>
    </w:p>
    <w:p w14:paraId="2EF89ECB" w14:textId="0FD2DBF5" w:rsidR="00982C99" w:rsidRPr="00530185" w:rsidRDefault="009402AE" w:rsidP="00A71885">
      <w:pPr>
        <w:pStyle w:val="Paragrafoelenco"/>
        <w:numPr>
          <w:ilvl w:val="1"/>
          <w:numId w:val="4"/>
        </w:numPr>
        <w:ind w:left="709" w:hanging="425"/>
        <w:rPr>
          <w:rFonts w:eastAsia="Calibri"/>
          <w:lang w:eastAsia="en-US"/>
        </w:rPr>
      </w:pPr>
      <w:r>
        <w:rPr>
          <w:rFonts w:eastAsia="Calibri"/>
          <w:lang w:eastAsia="en-US"/>
        </w:rPr>
        <w:t>Gli input dell’analisi di portafoglio</w:t>
      </w:r>
    </w:p>
    <w:p w14:paraId="12F0A06D" w14:textId="5B514FEF" w:rsidR="00982C99" w:rsidRDefault="009402AE" w:rsidP="00A71885">
      <w:pPr>
        <w:pStyle w:val="Paragrafoelenco"/>
        <w:numPr>
          <w:ilvl w:val="1"/>
          <w:numId w:val="4"/>
        </w:numPr>
        <w:ind w:left="709" w:hanging="425"/>
        <w:rPr>
          <w:rFonts w:eastAsia="Calibri"/>
          <w:lang w:eastAsia="en-US"/>
        </w:rPr>
      </w:pPr>
      <w:r>
        <w:rPr>
          <w:rFonts w:eastAsia="Calibri"/>
          <w:lang w:eastAsia="en-US"/>
        </w:rPr>
        <w:t>Le caratteristiche del single-index model</w:t>
      </w:r>
    </w:p>
    <w:p w14:paraId="34471E6F" w14:textId="76D40542" w:rsidR="00982C99" w:rsidRDefault="009402AE" w:rsidP="00A71885">
      <w:pPr>
        <w:pStyle w:val="Paragrafoelenco"/>
        <w:numPr>
          <w:ilvl w:val="1"/>
          <w:numId w:val="4"/>
        </w:numPr>
        <w:ind w:left="709" w:hanging="425"/>
        <w:rPr>
          <w:rFonts w:eastAsia="Calibri"/>
          <w:lang w:eastAsia="en-US"/>
        </w:rPr>
      </w:pPr>
      <w:r>
        <w:rPr>
          <w:rFonts w:eastAsia="Calibri"/>
          <w:lang w:eastAsia="en-US"/>
        </w:rPr>
        <w:t>La stima dei beta</w:t>
      </w:r>
    </w:p>
    <w:p w14:paraId="44251751" w14:textId="28C26413" w:rsidR="00982C99" w:rsidRPr="00530185" w:rsidRDefault="009402AE" w:rsidP="00530185">
      <w:pPr>
        <w:pStyle w:val="Paragrafoelenco"/>
        <w:numPr>
          <w:ilvl w:val="0"/>
          <w:numId w:val="4"/>
        </w:numPr>
        <w:spacing w:before="120"/>
        <w:ind w:left="284" w:hanging="284"/>
        <w:rPr>
          <w:rFonts w:eastAsia="Calibri"/>
          <w:i/>
          <w:lang w:eastAsia="en-US"/>
        </w:rPr>
      </w:pPr>
      <w:r>
        <w:rPr>
          <w:rFonts w:eastAsia="Calibri"/>
          <w:i/>
          <w:lang w:eastAsia="en-US"/>
        </w:rPr>
        <w:t>Modelli multifattoriali e tecniche di grouping</w:t>
      </w:r>
    </w:p>
    <w:p w14:paraId="5DFC642D" w14:textId="5DB70305" w:rsidR="00982C99" w:rsidRDefault="009402AE" w:rsidP="00A71885">
      <w:pPr>
        <w:pStyle w:val="Paragrafoelenco"/>
        <w:numPr>
          <w:ilvl w:val="1"/>
          <w:numId w:val="4"/>
        </w:numPr>
        <w:ind w:left="709" w:hanging="425"/>
        <w:rPr>
          <w:rFonts w:eastAsia="Calibri"/>
          <w:lang w:eastAsia="en-US"/>
        </w:rPr>
      </w:pPr>
      <w:r>
        <w:rPr>
          <w:rFonts w:eastAsia="Calibri"/>
          <w:lang w:eastAsia="en-US"/>
        </w:rPr>
        <w:lastRenderedPageBreak/>
        <w:t>I modelli multifattoriali</w:t>
      </w:r>
    </w:p>
    <w:p w14:paraId="369C05D0" w14:textId="4A7B0FF8" w:rsidR="00982C99" w:rsidRDefault="009402AE" w:rsidP="00A71885">
      <w:pPr>
        <w:pStyle w:val="Paragrafoelenco"/>
        <w:numPr>
          <w:ilvl w:val="1"/>
          <w:numId w:val="4"/>
        </w:numPr>
        <w:ind w:left="709" w:hanging="425"/>
        <w:rPr>
          <w:rFonts w:eastAsia="Calibri"/>
          <w:lang w:eastAsia="en-US"/>
        </w:rPr>
      </w:pPr>
      <w:r>
        <w:rPr>
          <w:rFonts w:eastAsia="Calibri"/>
          <w:lang w:eastAsia="en-US"/>
        </w:rPr>
        <w:t>I modelli di correlazione media</w:t>
      </w:r>
    </w:p>
    <w:p w14:paraId="1A97D2E2" w14:textId="2DFC0BBE" w:rsidR="00982C99" w:rsidRDefault="009402AE" w:rsidP="00A71885">
      <w:pPr>
        <w:pStyle w:val="Paragrafoelenco"/>
        <w:numPr>
          <w:ilvl w:val="1"/>
          <w:numId w:val="4"/>
        </w:numPr>
        <w:ind w:left="709" w:hanging="425"/>
        <w:rPr>
          <w:rFonts w:eastAsia="Calibri"/>
          <w:lang w:eastAsia="en-US"/>
        </w:rPr>
      </w:pPr>
      <w:r>
        <w:rPr>
          <w:rFonts w:eastAsia="Calibri"/>
          <w:lang w:eastAsia="en-US"/>
        </w:rPr>
        <w:t>I modelli ibridi</w:t>
      </w:r>
    </w:p>
    <w:p w14:paraId="4D81E52B" w14:textId="50645710" w:rsidR="00982C99" w:rsidRDefault="009402AE" w:rsidP="00A71885">
      <w:pPr>
        <w:pStyle w:val="Paragrafoelenco"/>
        <w:numPr>
          <w:ilvl w:val="1"/>
          <w:numId w:val="4"/>
        </w:numPr>
        <w:ind w:left="709" w:hanging="425"/>
        <w:rPr>
          <w:rFonts w:eastAsia="Calibri"/>
          <w:lang w:eastAsia="en-US"/>
        </w:rPr>
      </w:pPr>
      <w:r>
        <w:rPr>
          <w:rFonts w:eastAsia="Calibri"/>
          <w:lang w:eastAsia="en-US"/>
        </w:rPr>
        <w:t>I modelli multifattoriali fondamentali</w:t>
      </w:r>
    </w:p>
    <w:p w14:paraId="0B417DE3" w14:textId="0476893A" w:rsidR="00982C99" w:rsidRPr="00530185" w:rsidRDefault="009402AE" w:rsidP="00530185">
      <w:pPr>
        <w:pStyle w:val="Paragrafoelenco"/>
        <w:numPr>
          <w:ilvl w:val="0"/>
          <w:numId w:val="4"/>
        </w:numPr>
        <w:spacing w:before="120"/>
        <w:ind w:left="284" w:hanging="284"/>
        <w:rPr>
          <w:rFonts w:eastAsia="Calibri"/>
          <w:i/>
          <w:lang w:eastAsia="en-US"/>
        </w:rPr>
      </w:pPr>
      <w:r>
        <w:rPr>
          <w:rFonts w:eastAsia="Calibri"/>
          <w:i/>
          <w:lang w:eastAsia="en-US"/>
        </w:rPr>
        <w:t>La determinazione del portafoglio ottimo</w:t>
      </w:r>
    </w:p>
    <w:p w14:paraId="6A872A14" w14:textId="7673C7DF" w:rsidR="00982C99" w:rsidRDefault="009402AE" w:rsidP="00A71885">
      <w:pPr>
        <w:pStyle w:val="Paragrafoelenco"/>
        <w:numPr>
          <w:ilvl w:val="1"/>
          <w:numId w:val="4"/>
        </w:numPr>
        <w:ind w:left="709" w:hanging="425"/>
        <w:rPr>
          <w:rFonts w:eastAsia="Calibri"/>
          <w:lang w:eastAsia="en-US"/>
        </w:rPr>
      </w:pPr>
      <w:r>
        <w:rPr>
          <w:rFonts w:eastAsia="Calibri"/>
          <w:lang w:eastAsia="en-US"/>
        </w:rPr>
        <w:t>La selezione di portafogli in ambito single index model</w:t>
      </w:r>
    </w:p>
    <w:p w14:paraId="5E663F71" w14:textId="46E21928" w:rsidR="00982C99" w:rsidRDefault="009402AE" w:rsidP="00A71885">
      <w:pPr>
        <w:pStyle w:val="Paragrafoelenco"/>
        <w:numPr>
          <w:ilvl w:val="1"/>
          <w:numId w:val="4"/>
        </w:numPr>
        <w:ind w:left="709" w:hanging="425"/>
        <w:rPr>
          <w:rFonts w:eastAsia="Calibri"/>
          <w:lang w:eastAsia="en-US"/>
        </w:rPr>
      </w:pPr>
      <w:r>
        <w:rPr>
          <w:rFonts w:eastAsia="Calibri"/>
          <w:lang w:eastAsia="en-US"/>
        </w:rPr>
        <w:t>La selezione dei titoli con un indice negoziabile</w:t>
      </w:r>
    </w:p>
    <w:p w14:paraId="139CCDC3" w14:textId="088B4B48" w:rsidR="00982C99" w:rsidRDefault="009402AE" w:rsidP="00A71885">
      <w:pPr>
        <w:pStyle w:val="Paragrafoelenco"/>
        <w:numPr>
          <w:ilvl w:val="1"/>
          <w:numId w:val="4"/>
        </w:numPr>
        <w:ind w:left="709" w:hanging="425"/>
        <w:rPr>
          <w:rFonts w:eastAsia="Calibri"/>
          <w:lang w:eastAsia="en-US"/>
        </w:rPr>
      </w:pPr>
      <w:r>
        <w:rPr>
          <w:rFonts w:eastAsia="Calibri"/>
          <w:lang w:eastAsia="en-US"/>
        </w:rPr>
        <w:t>La selezione del portafoglio nel modello a correlazione costante</w:t>
      </w:r>
    </w:p>
    <w:p w14:paraId="4E2DCD78" w14:textId="428BCA07" w:rsidR="00982C99" w:rsidRPr="00530185" w:rsidRDefault="009402AE" w:rsidP="00530185">
      <w:pPr>
        <w:pStyle w:val="Paragrafoelenco"/>
        <w:numPr>
          <w:ilvl w:val="0"/>
          <w:numId w:val="4"/>
        </w:numPr>
        <w:spacing w:before="120"/>
        <w:ind w:left="284" w:hanging="284"/>
        <w:rPr>
          <w:rFonts w:eastAsia="Calibri"/>
          <w:i/>
          <w:lang w:eastAsia="en-US"/>
        </w:rPr>
      </w:pPr>
      <w:r>
        <w:rPr>
          <w:rFonts w:eastAsia="Calibri"/>
          <w:i/>
          <w:lang w:eastAsia="en-US"/>
        </w:rPr>
        <w:t>La stima dei rendimenti attesi</w:t>
      </w:r>
    </w:p>
    <w:p w14:paraId="4E3052B4" w14:textId="0EF2A505" w:rsidR="00982C99" w:rsidRDefault="009402AE" w:rsidP="00A71885">
      <w:pPr>
        <w:pStyle w:val="Paragrafoelenco"/>
        <w:numPr>
          <w:ilvl w:val="1"/>
          <w:numId w:val="4"/>
        </w:numPr>
        <w:ind w:left="709" w:hanging="425"/>
        <w:rPr>
          <w:rFonts w:eastAsia="Calibri"/>
          <w:lang w:eastAsia="en-US"/>
        </w:rPr>
      </w:pPr>
      <w:r>
        <w:rPr>
          <w:rFonts w:eastAsia="Calibri"/>
          <w:lang w:eastAsia="en-US"/>
        </w:rPr>
        <w:t>Asset allocation strategica</w:t>
      </w:r>
    </w:p>
    <w:p w14:paraId="2EE1AE17" w14:textId="5A535B2D" w:rsidR="00982C99" w:rsidRDefault="009402AE" w:rsidP="00A71885">
      <w:pPr>
        <w:pStyle w:val="Paragrafoelenco"/>
        <w:numPr>
          <w:ilvl w:val="1"/>
          <w:numId w:val="4"/>
        </w:numPr>
        <w:ind w:left="709" w:hanging="425"/>
        <w:rPr>
          <w:rFonts w:eastAsia="Calibri"/>
          <w:lang w:eastAsia="en-US"/>
        </w:rPr>
      </w:pPr>
      <w:r>
        <w:rPr>
          <w:rFonts w:eastAsia="Calibri"/>
          <w:lang w:eastAsia="en-US"/>
        </w:rPr>
        <w:t>La previsione dei rendimenti dei singoli titoli</w:t>
      </w:r>
    </w:p>
    <w:p w14:paraId="22E07502" w14:textId="4B7470B6" w:rsidR="00982C99" w:rsidRDefault="009402AE" w:rsidP="00A71885">
      <w:pPr>
        <w:pStyle w:val="Paragrafoelenco"/>
        <w:numPr>
          <w:ilvl w:val="1"/>
          <w:numId w:val="4"/>
        </w:numPr>
        <w:ind w:left="709" w:hanging="425"/>
        <w:rPr>
          <w:rFonts w:eastAsia="Calibri"/>
          <w:lang w:eastAsia="en-US"/>
        </w:rPr>
      </w:pPr>
      <w:r>
        <w:rPr>
          <w:rFonts w:eastAsia="Calibri"/>
          <w:lang w:eastAsia="en-US"/>
        </w:rPr>
        <w:t>Analisi di portafoglio con dati discreti</w:t>
      </w:r>
    </w:p>
    <w:p w14:paraId="451EE360" w14:textId="7D709322" w:rsidR="00982C99" w:rsidRPr="00530185" w:rsidRDefault="00B42710" w:rsidP="00530185">
      <w:pPr>
        <w:pStyle w:val="Paragrafoelenco"/>
        <w:numPr>
          <w:ilvl w:val="0"/>
          <w:numId w:val="4"/>
        </w:numPr>
        <w:spacing w:before="120"/>
        <w:ind w:left="284" w:hanging="284"/>
        <w:rPr>
          <w:rFonts w:eastAsia="Calibri"/>
          <w:i/>
          <w:lang w:eastAsia="en-US"/>
        </w:rPr>
      </w:pPr>
      <w:r>
        <w:rPr>
          <w:rFonts w:eastAsia="Calibri"/>
          <w:i/>
          <w:lang w:eastAsia="en-US"/>
        </w:rPr>
        <w:t>I modelli multifattoriali, l’APT e la gestione di portafoglio</w:t>
      </w:r>
    </w:p>
    <w:p w14:paraId="4D05B2E4" w14:textId="6D1584B5" w:rsidR="00982C99" w:rsidRDefault="00B42710" w:rsidP="00A71885">
      <w:pPr>
        <w:pStyle w:val="Paragrafoelenco"/>
        <w:numPr>
          <w:ilvl w:val="1"/>
          <w:numId w:val="4"/>
        </w:numPr>
        <w:ind w:left="709" w:hanging="425"/>
        <w:rPr>
          <w:rFonts w:eastAsia="Calibri"/>
          <w:lang w:eastAsia="en-US"/>
        </w:rPr>
      </w:pPr>
      <w:r>
        <w:rPr>
          <w:rFonts w:eastAsia="Calibri"/>
          <w:lang w:eastAsia="en-US"/>
        </w:rPr>
        <w:t>Una rivisitazione dei modelli fattoriali e dell’APT</w:t>
      </w:r>
    </w:p>
    <w:p w14:paraId="6EACA693" w14:textId="0BF1ECF3" w:rsidR="00982C99" w:rsidRDefault="00B42710" w:rsidP="00A71885">
      <w:pPr>
        <w:pStyle w:val="Paragrafoelenco"/>
        <w:numPr>
          <w:ilvl w:val="1"/>
          <w:numId w:val="4"/>
        </w:numPr>
        <w:ind w:left="709" w:hanging="425"/>
        <w:rPr>
          <w:rFonts w:eastAsia="Calibri"/>
          <w:lang w:eastAsia="en-US"/>
        </w:rPr>
      </w:pPr>
      <w:r>
        <w:rPr>
          <w:rFonts w:eastAsia="Calibri"/>
          <w:lang w:eastAsia="en-US"/>
        </w:rPr>
        <w:t>La gestione passiva di portafoglio</w:t>
      </w:r>
    </w:p>
    <w:p w14:paraId="707F35C2" w14:textId="1F0542FE" w:rsidR="00982C99" w:rsidRDefault="00B42710" w:rsidP="00A71885">
      <w:pPr>
        <w:pStyle w:val="Paragrafoelenco"/>
        <w:numPr>
          <w:ilvl w:val="1"/>
          <w:numId w:val="4"/>
        </w:numPr>
        <w:ind w:left="709" w:hanging="425"/>
        <w:rPr>
          <w:rFonts w:eastAsia="Calibri"/>
          <w:lang w:eastAsia="en-US"/>
        </w:rPr>
      </w:pPr>
      <w:r>
        <w:rPr>
          <w:rFonts w:eastAsia="Calibri"/>
          <w:lang w:eastAsia="en-US"/>
        </w:rPr>
        <w:t>La gestione attiva</w:t>
      </w:r>
    </w:p>
    <w:p w14:paraId="62939AB8" w14:textId="547FE7D5" w:rsidR="00B42710" w:rsidRDefault="00B42710" w:rsidP="00530185">
      <w:pPr>
        <w:pStyle w:val="Paragrafoelenco"/>
        <w:numPr>
          <w:ilvl w:val="0"/>
          <w:numId w:val="4"/>
        </w:numPr>
        <w:spacing w:before="120"/>
        <w:ind w:left="284" w:hanging="284"/>
        <w:rPr>
          <w:rFonts w:eastAsia="Calibri"/>
          <w:i/>
          <w:lang w:eastAsia="en-US"/>
        </w:rPr>
      </w:pPr>
      <w:r>
        <w:rPr>
          <w:rFonts w:eastAsia="Calibri"/>
          <w:i/>
          <w:lang w:eastAsia="en-US"/>
        </w:rPr>
        <w:t>Finanza comportamentale, processi decisionali e prezzi dei titoli</w:t>
      </w:r>
    </w:p>
    <w:p w14:paraId="49EDAEA5" w14:textId="488CEAB9" w:rsidR="00B42710" w:rsidRDefault="00B42710" w:rsidP="00B42710">
      <w:pPr>
        <w:pStyle w:val="Paragrafoelenco"/>
        <w:numPr>
          <w:ilvl w:val="1"/>
          <w:numId w:val="4"/>
        </w:numPr>
        <w:spacing w:before="120"/>
        <w:rPr>
          <w:rFonts w:eastAsia="Calibri"/>
          <w:iCs/>
          <w:lang w:eastAsia="en-US"/>
        </w:rPr>
      </w:pPr>
      <w:r>
        <w:rPr>
          <w:rFonts w:eastAsia="Calibri"/>
          <w:iCs/>
          <w:lang w:eastAsia="en-US"/>
        </w:rPr>
        <w:t>La teoria della finanza comportamentale</w:t>
      </w:r>
    </w:p>
    <w:p w14:paraId="6115A7ED" w14:textId="6BF1642A" w:rsidR="00B42710" w:rsidRDefault="00B42710" w:rsidP="00B42710">
      <w:pPr>
        <w:pStyle w:val="Paragrafoelenco"/>
        <w:numPr>
          <w:ilvl w:val="1"/>
          <w:numId w:val="4"/>
        </w:numPr>
        <w:spacing w:before="120"/>
        <w:rPr>
          <w:rFonts w:eastAsia="Calibri"/>
          <w:iCs/>
          <w:lang w:eastAsia="en-US"/>
        </w:rPr>
      </w:pPr>
      <w:r>
        <w:rPr>
          <w:rFonts w:eastAsia="Calibri"/>
          <w:iCs/>
          <w:lang w:eastAsia="en-US"/>
        </w:rPr>
        <w:t xml:space="preserve">Finanza comportamentale e </w:t>
      </w:r>
      <w:r w:rsidRPr="00B42710">
        <w:rPr>
          <w:rFonts w:eastAsia="Calibri"/>
          <w:i/>
          <w:lang w:eastAsia="en-US"/>
        </w:rPr>
        <w:t>pricing</w:t>
      </w:r>
      <w:r>
        <w:rPr>
          <w:rFonts w:eastAsia="Calibri"/>
          <w:iCs/>
          <w:lang w:eastAsia="en-US"/>
        </w:rPr>
        <w:t xml:space="preserve"> dei titoli</w:t>
      </w:r>
    </w:p>
    <w:p w14:paraId="603BC55D" w14:textId="3B36599D" w:rsidR="00B42710" w:rsidRDefault="00B42710" w:rsidP="00530185">
      <w:pPr>
        <w:pStyle w:val="Paragrafoelenco"/>
        <w:numPr>
          <w:ilvl w:val="0"/>
          <w:numId w:val="4"/>
        </w:numPr>
        <w:spacing w:before="120"/>
        <w:ind w:left="284" w:hanging="284"/>
        <w:rPr>
          <w:rFonts w:eastAsia="Calibri"/>
          <w:i/>
          <w:lang w:eastAsia="en-US"/>
        </w:rPr>
      </w:pPr>
      <w:r>
        <w:rPr>
          <w:rFonts w:eastAsia="Calibri"/>
          <w:i/>
          <w:lang w:eastAsia="en-US"/>
        </w:rPr>
        <w:t>Valutazione della performance di portafoglio</w:t>
      </w:r>
    </w:p>
    <w:p w14:paraId="2F18AEE8" w14:textId="79BE5205" w:rsidR="00B42710" w:rsidRDefault="00B42710" w:rsidP="00B42710">
      <w:pPr>
        <w:pStyle w:val="Paragrafoelenco"/>
        <w:numPr>
          <w:ilvl w:val="1"/>
          <w:numId w:val="4"/>
        </w:numPr>
        <w:spacing w:before="120"/>
        <w:rPr>
          <w:rFonts w:eastAsia="Calibri"/>
          <w:iCs/>
          <w:lang w:eastAsia="en-US"/>
        </w:rPr>
      </w:pPr>
      <w:r>
        <w:rPr>
          <w:rFonts w:eastAsia="Calibri"/>
          <w:iCs/>
          <w:lang w:eastAsia="en-US"/>
        </w:rPr>
        <w:t>Le tecniche di valutazione</w:t>
      </w:r>
    </w:p>
    <w:p w14:paraId="46942E0A" w14:textId="0A52D230" w:rsidR="00B42710" w:rsidRDefault="00B42710" w:rsidP="00B42710">
      <w:pPr>
        <w:pStyle w:val="Paragrafoelenco"/>
        <w:numPr>
          <w:ilvl w:val="1"/>
          <w:numId w:val="4"/>
        </w:numPr>
        <w:spacing w:before="120"/>
        <w:rPr>
          <w:rFonts w:eastAsia="Calibri"/>
          <w:iCs/>
          <w:lang w:eastAsia="en-US"/>
        </w:rPr>
      </w:pPr>
      <w:r>
        <w:rPr>
          <w:rFonts w:eastAsia="Calibri"/>
          <w:iCs/>
          <w:lang w:eastAsia="en-US"/>
        </w:rPr>
        <w:t>La scomposizione della performance</w:t>
      </w:r>
    </w:p>
    <w:p w14:paraId="26562938" w14:textId="16590F2C" w:rsidR="00B42710" w:rsidRDefault="00B42710" w:rsidP="00B42710">
      <w:pPr>
        <w:pStyle w:val="Paragrafoelenco"/>
        <w:numPr>
          <w:ilvl w:val="1"/>
          <w:numId w:val="4"/>
        </w:numPr>
        <w:spacing w:before="120"/>
        <w:rPr>
          <w:rFonts w:eastAsia="Calibri"/>
          <w:iCs/>
          <w:lang w:eastAsia="en-US"/>
        </w:rPr>
      </w:pPr>
      <w:r>
        <w:rPr>
          <w:rFonts w:eastAsia="Calibri"/>
          <w:iCs/>
          <w:lang w:eastAsia="en-US"/>
        </w:rPr>
        <w:t>La performance dei fondi comuni d’investimento</w:t>
      </w:r>
    </w:p>
    <w:p w14:paraId="30740DDD" w14:textId="62227DAA" w:rsidR="00982C99" w:rsidRPr="00530185" w:rsidRDefault="00982C99" w:rsidP="00530185">
      <w:pPr>
        <w:pStyle w:val="Paragrafoelenco"/>
        <w:numPr>
          <w:ilvl w:val="0"/>
          <w:numId w:val="4"/>
        </w:numPr>
        <w:spacing w:before="120"/>
        <w:ind w:left="284" w:hanging="284"/>
        <w:rPr>
          <w:rFonts w:eastAsia="Calibri"/>
          <w:i/>
          <w:lang w:eastAsia="en-US"/>
        </w:rPr>
      </w:pPr>
      <w:r w:rsidRPr="00530185">
        <w:rPr>
          <w:rFonts w:eastAsia="Calibri"/>
          <w:i/>
          <w:lang w:eastAsia="en-US"/>
        </w:rPr>
        <w:t>L’investimento in obbligazioni</w:t>
      </w:r>
    </w:p>
    <w:p w14:paraId="39DE83B4" w14:textId="67076D1F" w:rsidR="00982C99" w:rsidRPr="00C424C0" w:rsidRDefault="00982C99" w:rsidP="00E638A9">
      <w:pPr>
        <w:pStyle w:val="Paragrafoelenco"/>
        <w:numPr>
          <w:ilvl w:val="1"/>
          <w:numId w:val="4"/>
        </w:numPr>
        <w:ind w:left="709" w:hanging="425"/>
        <w:rPr>
          <w:rFonts w:eastAsia="Calibri"/>
          <w:lang w:eastAsia="en-US"/>
        </w:rPr>
      </w:pPr>
      <w:r w:rsidRPr="00C424C0">
        <w:rPr>
          <w:rFonts w:eastAsia="Calibri"/>
          <w:lang w:eastAsia="en-US"/>
        </w:rPr>
        <w:t xml:space="preserve">Caratteristiche fondamentali </w:t>
      </w:r>
      <w:r w:rsidR="00C424C0" w:rsidRPr="00C424C0">
        <w:rPr>
          <w:rFonts w:eastAsia="Calibri"/>
          <w:lang w:eastAsia="en-US"/>
        </w:rPr>
        <w:t xml:space="preserve">e pricing </w:t>
      </w:r>
      <w:r w:rsidRPr="00C424C0">
        <w:rPr>
          <w:rFonts w:eastAsia="Calibri"/>
          <w:lang w:eastAsia="en-US"/>
        </w:rPr>
        <w:t>dei bond</w:t>
      </w:r>
    </w:p>
    <w:p w14:paraId="286F5780" w14:textId="77777777" w:rsidR="00982C99" w:rsidRDefault="00982C99" w:rsidP="00A71885">
      <w:pPr>
        <w:pStyle w:val="Paragrafoelenco"/>
        <w:numPr>
          <w:ilvl w:val="1"/>
          <w:numId w:val="4"/>
        </w:numPr>
        <w:ind w:left="709" w:hanging="425"/>
        <w:rPr>
          <w:rFonts w:eastAsia="Calibri"/>
          <w:lang w:eastAsia="en-US"/>
        </w:rPr>
      </w:pPr>
      <w:r>
        <w:rPr>
          <w:rFonts w:eastAsia="Calibri"/>
          <w:lang w:eastAsia="en-US"/>
        </w:rPr>
        <w:t>Il rendimento dei bond: Yield to Maturity e misure alternative</w:t>
      </w:r>
    </w:p>
    <w:p w14:paraId="527C8B70" w14:textId="527402AB" w:rsidR="00982C99" w:rsidRDefault="00982C99" w:rsidP="00A71885">
      <w:pPr>
        <w:pStyle w:val="Paragrafoelenco"/>
        <w:numPr>
          <w:ilvl w:val="1"/>
          <w:numId w:val="4"/>
        </w:numPr>
        <w:ind w:left="709" w:hanging="425"/>
        <w:rPr>
          <w:rFonts w:eastAsia="Calibri"/>
          <w:lang w:eastAsia="en-US"/>
        </w:rPr>
      </w:pPr>
      <w:r>
        <w:rPr>
          <w:rFonts w:eastAsia="Calibri"/>
          <w:lang w:eastAsia="en-US"/>
        </w:rPr>
        <w:t xml:space="preserve">I rischi dell’investimento in bond </w:t>
      </w:r>
    </w:p>
    <w:p w14:paraId="0EFE1B89" w14:textId="77777777" w:rsidR="00982C99" w:rsidRPr="00530185" w:rsidRDefault="00982C99" w:rsidP="00530185">
      <w:pPr>
        <w:pStyle w:val="Paragrafoelenco"/>
        <w:numPr>
          <w:ilvl w:val="0"/>
          <w:numId w:val="4"/>
        </w:numPr>
        <w:spacing w:before="120"/>
        <w:ind w:left="284" w:hanging="284"/>
        <w:rPr>
          <w:rFonts w:eastAsia="Calibri"/>
          <w:i/>
          <w:lang w:eastAsia="en-US"/>
        </w:rPr>
      </w:pPr>
      <w:r w:rsidRPr="00530185">
        <w:rPr>
          <w:rFonts w:eastAsia="Calibri"/>
          <w:i/>
          <w:lang w:eastAsia="en-US"/>
        </w:rPr>
        <w:t>Tassi d’interesse e pricing dei bond</w:t>
      </w:r>
    </w:p>
    <w:p w14:paraId="45731410" w14:textId="77777777" w:rsidR="00982C99" w:rsidRDefault="00982C99" w:rsidP="00A71885">
      <w:pPr>
        <w:pStyle w:val="Paragrafoelenco"/>
        <w:numPr>
          <w:ilvl w:val="1"/>
          <w:numId w:val="4"/>
        </w:numPr>
        <w:ind w:left="709" w:hanging="425"/>
        <w:rPr>
          <w:rFonts w:eastAsia="Calibri"/>
          <w:lang w:eastAsia="en-US"/>
        </w:rPr>
      </w:pPr>
      <w:r>
        <w:rPr>
          <w:rFonts w:eastAsia="Calibri"/>
          <w:lang w:eastAsia="en-US"/>
        </w:rPr>
        <w:t>La curva dei tassi e le sue determinanti</w:t>
      </w:r>
    </w:p>
    <w:p w14:paraId="6AD5739D" w14:textId="77777777" w:rsidR="00982C99" w:rsidRDefault="00982C99" w:rsidP="00A71885">
      <w:pPr>
        <w:pStyle w:val="Paragrafoelenco"/>
        <w:numPr>
          <w:ilvl w:val="1"/>
          <w:numId w:val="4"/>
        </w:numPr>
        <w:ind w:left="709" w:hanging="425"/>
        <w:rPr>
          <w:rFonts w:eastAsia="Calibri"/>
          <w:lang w:eastAsia="en-US"/>
        </w:rPr>
      </w:pPr>
      <w:r>
        <w:rPr>
          <w:rFonts w:eastAsia="Calibri"/>
          <w:lang w:eastAsia="en-US"/>
        </w:rPr>
        <w:t>Tassi spot e tassi forward</w:t>
      </w:r>
    </w:p>
    <w:p w14:paraId="2767B165" w14:textId="7097B817" w:rsidR="00982C99" w:rsidRPr="00C258CC" w:rsidRDefault="00C258CC" w:rsidP="002B6CC2">
      <w:pPr>
        <w:pStyle w:val="Paragrafoelenco"/>
        <w:numPr>
          <w:ilvl w:val="1"/>
          <w:numId w:val="4"/>
        </w:numPr>
        <w:ind w:left="709" w:hanging="425"/>
        <w:rPr>
          <w:rFonts w:eastAsia="Calibri"/>
          <w:lang w:eastAsia="en-US"/>
        </w:rPr>
      </w:pPr>
      <w:r w:rsidRPr="00C258CC">
        <w:rPr>
          <w:rFonts w:eastAsia="Calibri"/>
          <w:lang w:eastAsia="en-US"/>
        </w:rPr>
        <w:t>C</w:t>
      </w:r>
      <w:r w:rsidR="00982C99" w:rsidRPr="00C258CC">
        <w:rPr>
          <w:rFonts w:eastAsia="Calibri"/>
          <w:lang w:eastAsia="en-US"/>
        </w:rPr>
        <w:t>urva Prezzo/Rendimento</w:t>
      </w:r>
      <w:r w:rsidRPr="00C258CC">
        <w:rPr>
          <w:rFonts w:eastAsia="Calibri"/>
          <w:lang w:eastAsia="en-US"/>
        </w:rPr>
        <w:t>, d</w:t>
      </w:r>
      <w:r w:rsidR="00982C99" w:rsidRPr="00C258CC">
        <w:rPr>
          <w:rFonts w:eastAsia="Calibri"/>
          <w:lang w:eastAsia="en-US"/>
        </w:rPr>
        <w:t>uration e convessità</w:t>
      </w:r>
    </w:p>
    <w:p w14:paraId="33436E78" w14:textId="5B656637" w:rsidR="00C258CC" w:rsidRDefault="00C258CC" w:rsidP="00A71885">
      <w:pPr>
        <w:pStyle w:val="Paragrafoelenco"/>
        <w:numPr>
          <w:ilvl w:val="1"/>
          <w:numId w:val="4"/>
        </w:numPr>
        <w:ind w:left="709" w:hanging="425"/>
        <w:rPr>
          <w:rFonts w:eastAsia="Calibri"/>
          <w:lang w:eastAsia="en-US"/>
        </w:rPr>
      </w:pPr>
      <w:r>
        <w:rPr>
          <w:rFonts w:eastAsia="Calibri"/>
          <w:lang w:eastAsia="en-US"/>
        </w:rPr>
        <w:t>Gli effetti di una curva dei tassi non piatta</w:t>
      </w:r>
      <w:r w:rsidR="00615089">
        <w:rPr>
          <w:rFonts w:eastAsia="Calibri"/>
          <w:lang w:eastAsia="en-US"/>
        </w:rPr>
        <w:t xml:space="preserve"> e di shift non paralleli</w:t>
      </w:r>
    </w:p>
    <w:p w14:paraId="500D3A78" w14:textId="77777777" w:rsidR="00982C99" w:rsidRPr="00530185" w:rsidRDefault="00982C99" w:rsidP="00530185">
      <w:pPr>
        <w:pStyle w:val="Paragrafoelenco"/>
        <w:numPr>
          <w:ilvl w:val="0"/>
          <w:numId w:val="4"/>
        </w:numPr>
        <w:spacing w:before="120"/>
        <w:ind w:left="284" w:hanging="284"/>
        <w:rPr>
          <w:rFonts w:eastAsia="Calibri"/>
          <w:i/>
          <w:lang w:eastAsia="en-US"/>
        </w:rPr>
      </w:pPr>
      <w:r w:rsidRPr="00530185">
        <w:rPr>
          <w:rFonts w:eastAsia="Calibri"/>
          <w:i/>
          <w:lang w:eastAsia="en-US"/>
        </w:rPr>
        <w:t>Strategie di gestione del portafoglio obbligazionario</w:t>
      </w:r>
    </w:p>
    <w:p w14:paraId="2688F213" w14:textId="467315BC" w:rsidR="00982C99" w:rsidRDefault="00982C99" w:rsidP="00A71885">
      <w:pPr>
        <w:pStyle w:val="Paragrafoelenco"/>
        <w:numPr>
          <w:ilvl w:val="1"/>
          <w:numId w:val="4"/>
        </w:numPr>
        <w:ind w:left="709" w:hanging="425"/>
        <w:rPr>
          <w:rFonts w:eastAsia="Calibri"/>
          <w:lang w:eastAsia="en-US"/>
        </w:rPr>
      </w:pPr>
      <w:r>
        <w:rPr>
          <w:rFonts w:eastAsia="Calibri"/>
          <w:lang w:eastAsia="en-US"/>
        </w:rPr>
        <w:t xml:space="preserve">Strategie passive: buy &amp; hold e </w:t>
      </w:r>
      <w:r w:rsidR="00C258CC">
        <w:rPr>
          <w:rFonts w:eastAsia="Calibri"/>
          <w:lang w:eastAsia="en-US"/>
        </w:rPr>
        <w:t>indicizzazione</w:t>
      </w:r>
    </w:p>
    <w:p w14:paraId="6EBB8CA1" w14:textId="2482CD53" w:rsidR="00982C99" w:rsidRDefault="00982C99" w:rsidP="00A71885">
      <w:pPr>
        <w:pStyle w:val="Paragrafoelenco"/>
        <w:numPr>
          <w:ilvl w:val="1"/>
          <w:numId w:val="4"/>
        </w:numPr>
        <w:ind w:left="709" w:hanging="425"/>
        <w:rPr>
          <w:rFonts w:eastAsia="Calibri"/>
          <w:lang w:eastAsia="en-US"/>
        </w:rPr>
      </w:pPr>
      <w:r>
        <w:rPr>
          <w:rFonts w:eastAsia="Calibri"/>
          <w:lang w:eastAsia="en-US"/>
        </w:rPr>
        <w:t>Strategie attive</w:t>
      </w:r>
      <w:r w:rsidR="006072B2">
        <w:rPr>
          <w:rFonts w:eastAsia="Calibri"/>
          <w:lang w:eastAsia="en-US"/>
        </w:rPr>
        <w:t xml:space="preserve"> con e senza benchmark (</w:t>
      </w:r>
      <w:r w:rsidR="00C258CC">
        <w:rPr>
          <w:rFonts w:eastAsia="Calibri"/>
          <w:lang w:eastAsia="en-US"/>
        </w:rPr>
        <w:t>absolute return</w:t>
      </w:r>
      <w:r w:rsidR="006072B2">
        <w:rPr>
          <w:rFonts w:eastAsia="Calibri"/>
          <w:lang w:eastAsia="en-US"/>
        </w:rPr>
        <w:t>)</w:t>
      </w:r>
      <w:r w:rsidR="00C258CC">
        <w:rPr>
          <w:rFonts w:eastAsia="Calibri"/>
          <w:lang w:eastAsia="en-US"/>
        </w:rPr>
        <w:t xml:space="preserve">; </w:t>
      </w:r>
      <w:r w:rsidR="006072B2">
        <w:rPr>
          <w:rFonts w:eastAsia="Calibri"/>
          <w:lang w:eastAsia="en-US"/>
        </w:rPr>
        <w:t xml:space="preserve">tipologie di esposizione a </w:t>
      </w:r>
      <w:r w:rsidR="00C258CC">
        <w:rPr>
          <w:rFonts w:eastAsia="Calibri"/>
          <w:lang w:eastAsia="en-US"/>
        </w:rPr>
        <w:t>fattori di</w:t>
      </w:r>
      <w:r w:rsidR="006072B2">
        <w:rPr>
          <w:rFonts w:eastAsia="Calibri"/>
          <w:lang w:eastAsia="en-US"/>
        </w:rPr>
        <w:t xml:space="preserve"> rischio</w:t>
      </w:r>
      <w:r w:rsidR="00C258CC">
        <w:rPr>
          <w:rFonts w:eastAsia="Calibri"/>
          <w:lang w:eastAsia="en-US"/>
        </w:rPr>
        <w:t xml:space="preserve">; </w:t>
      </w:r>
      <w:r>
        <w:rPr>
          <w:rFonts w:eastAsia="Calibri"/>
          <w:lang w:eastAsia="en-US"/>
        </w:rPr>
        <w:t>bond swaps</w:t>
      </w:r>
      <w:r w:rsidR="00C258CC">
        <w:rPr>
          <w:rFonts w:eastAsia="Calibri"/>
          <w:lang w:eastAsia="en-US"/>
        </w:rPr>
        <w:t xml:space="preserve"> e derivati; strategie miste</w:t>
      </w:r>
    </w:p>
    <w:p w14:paraId="5479F5A3" w14:textId="75F17E60" w:rsidR="00982C99" w:rsidRPr="00C424C0" w:rsidRDefault="00982C99" w:rsidP="00C424C0">
      <w:pPr>
        <w:pStyle w:val="Paragrafoelenco"/>
        <w:numPr>
          <w:ilvl w:val="1"/>
          <w:numId w:val="4"/>
        </w:numPr>
        <w:ind w:left="709" w:hanging="425"/>
        <w:rPr>
          <w:rFonts w:eastAsia="Calibri"/>
          <w:lang w:eastAsia="en-US"/>
        </w:rPr>
      </w:pPr>
      <w:r>
        <w:rPr>
          <w:rFonts w:eastAsia="Calibri"/>
          <w:lang w:eastAsia="en-US"/>
        </w:rPr>
        <w:t>Strategie</w:t>
      </w:r>
      <w:r w:rsidR="00C258CC">
        <w:rPr>
          <w:rFonts w:eastAsia="Calibri"/>
          <w:lang w:eastAsia="en-US"/>
        </w:rPr>
        <w:t xml:space="preserve"> </w:t>
      </w:r>
      <w:r>
        <w:rPr>
          <w:rFonts w:eastAsia="Calibri"/>
          <w:lang w:eastAsia="en-US"/>
        </w:rPr>
        <w:t>liability-driven</w:t>
      </w:r>
      <w:r w:rsidR="006950C0">
        <w:rPr>
          <w:rFonts w:eastAsia="Calibri"/>
          <w:lang w:eastAsia="en-US"/>
        </w:rPr>
        <w:t xml:space="preserve">: </w:t>
      </w:r>
      <w:r>
        <w:rPr>
          <w:rFonts w:eastAsia="Calibri"/>
          <w:lang w:eastAsia="en-US"/>
        </w:rPr>
        <w:t>dedication, im</w:t>
      </w:r>
      <w:r w:rsidR="006950C0">
        <w:rPr>
          <w:rFonts w:eastAsia="Calibri"/>
          <w:lang w:eastAsia="en-US"/>
        </w:rPr>
        <w:t>munizzazione, horizon-matching; strategie dinamiche</w:t>
      </w:r>
    </w:p>
    <w:p w14:paraId="65D13F96" w14:textId="2118CD9E" w:rsidR="00982C99" w:rsidRPr="009402AE" w:rsidRDefault="00982C99" w:rsidP="00530185">
      <w:pPr>
        <w:spacing w:before="240" w:after="120" w:line="220" w:lineRule="exact"/>
        <w:rPr>
          <w:b/>
          <w:i/>
          <w:sz w:val="18"/>
          <w:lang w:val="en-US"/>
        </w:rPr>
      </w:pPr>
      <w:r w:rsidRPr="009402AE">
        <w:rPr>
          <w:b/>
          <w:i/>
          <w:sz w:val="18"/>
          <w:lang w:val="en-US"/>
        </w:rPr>
        <w:lastRenderedPageBreak/>
        <w:t>BIBLIOGRAFIA</w:t>
      </w:r>
      <w:r w:rsidR="00C17405">
        <w:rPr>
          <w:rStyle w:val="Rimandonotaapidipagina"/>
          <w:b/>
          <w:i/>
          <w:sz w:val="18"/>
          <w:lang w:val="en-US"/>
        </w:rPr>
        <w:footnoteReference w:id="1"/>
      </w:r>
    </w:p>
    <w:p w14:paraId="27814160" w14:textId="54E29DAF" w:rsidR="00982C99" w:rsidRPr="009353A3" w:rsidRDefault="00982C99" w:rsidP="00A71885">
      <w:pPr>
        <w:pStyle w:val="Testo1"/>
        <w:spacing w:before="0"/>
        <w:rPr>
          <w:lang w:val="en-US"/>
        </w:rPr>
      </w:pPr>
      <w:r w:rsidRPr="009353A3">
        <w:rPr>
          <w:lang w:val="en-US"/>
        </w:rPr>
        <w:t>Bodie, Zvi, Kane, Alex and Alan Marcus: Investments, 11th Edition, McGraw-Hill, 2018.</w:t>
      </w:r>
      <w:r w:rsidR="00C17405">
        <w:rPr>
          <w:lang w:val="en-US"/>
        </w:rPr>
        <w:t xml:space="preserve"> </w:t>
      </w:r>
      <w:hyperlink r:id="rId9" w:history="1">
        <w:r w:rsidR="00C17405" w:rsidRPr="00C17405">
          <w:rPr>
            <w:rStyle w:val="Collegamentoipertestuale"/>
            <w:rFonts w:ascii="Times New Roman" w:hAnsi="Times New Roman"/>
            <w:i/>
            <w:sz w:val="16"/>
            <w:szCs w:val="16"/>
          </w:rPr>
          <w:t>Acquista da VP</w:t>
        </w:r>
      </w:hyperlink>
    </w:p>
    <w:p w14:paraId="24B5B839" w14:textId="77777777" w:rsidR="00982C99" w:rsidRPr="009353A3" w:rsidRDefault="00982C99" w:rsidP="00A71885">
      <w:pPr>
        <w:pStyle w:val="Testo1"/>
        <w:spacing w:before="0"/>
        <w:rPr>
          <w:lang w:val="en-US"/>
        </w:rPr>
      </w:pPr>
      <w:r w:rsidRPr="009353A3">
        <w:rPr>
          <w:lang w:val="en-US"/>
        </w:rPr>
        <w:t>Reilly, Frank C., Brown, Keith C. and Sandford Leeds Investment Analysis &amp; Portfolio Management, 11th Edition, Cengage, 2019.</w:t>
      </w:r>
    </w:p>
    <w:p w14:paraId="6FA5E395" w14:textId="4B426C6F" w:rsidR="00B42710" w:rsidRPr="00B42710" w:rsidRDefault="00B42710" w:rsidP="00B42710">
      <w:pPr>
        <w:pStyle w:val="Testo1"/>
        <w:spacing w:before="0"/>
        <w:rPr>
          <w:rStyle w:val="Enfasicorsivo"/>
          <w:i w:val="0"/>
          <w:iCs w:val="0"/>
        </w:rPr>
      </w:pPr>
      <w:r w:rsidRPr="00B42710">
        <w:rPr>
          <w:rStyle w:val="Enfasicorsivo"/>
          <w:i w:val="0"/>
          <w:iCs w:val="0"/>
        </w:rPr>
        <w:t>Elton, Edwin J., Gruber, Martin J., Brown, Stephen J. and William N. Goetzmann: Teorie di portafoglio e analisi de</w:t>
      </w:r>
      <w:r>
        <w:rPr>
          <w:rStyle w:val="Enfasicorsivo"/>
          <w:i w:val="0"/>
          <w:iCs w:val="0"/>
        </w:rPr>
        <w:t>gli investimenti, Maggioli Editore, 2007</w:t>
      </w:r>
      <w:r w:rsidR="003230CB">
        <w:rPr>
          <w:rStyle w:val="Enfasicorsivo"/>
          <w:i w:val="0"/>
          <w:iCs w:val="0"/>
        </w:rPr>
        <w:t>.</w:t>
      </w:r>
      <w:r w:rsidR="00C17405">
        <w:rPr>
          <w:rStyle w:val="Enfasicorsivo"/>
          <w:i w:val="0"/>
          <w:iCs w:val="0"/>
        </w:rPr>
        <w:t xml:space="preserve"> </w:t>
      </w:r>
      <w:hyperlink r:id="rId10" w:history="1">
        <w:r w:rsidR="00C17405" w:rsidRPr="00C17405">
          <w:rPr>
            <w:rStyle w:val="Collegamentoipertestuale"/>
            <w:rFonts w:ascii="Times New Roman" w:hAnsi="Times New Roman"/>
            <w:i/>
            <w:sz w:val="16"/>
            <w:szCs w:val="16"/>
          </w:rPr>
          <w:t>Acquista da VP</w:t>
        </w:r>
      </w:hyperlink>
      <w:bookmarkStart w:id="0" w:name="_GoBack"/>
      <w:bookmarkEnd w:id="0"/>
    </w:p>
    <w:p w14:paraId="63666989" w14:textId="0FE700EC" w:rsidR="00982C99" w:rsidRPr="00A71885" w:rsidRDefault="006072B2" w:rsidP="00A71885">
      <w:pPr>
        <w:pStyle w:val="Testo1"/>
        <w:spacing w:before="0"/>
      </w:pPr>
      <w:r>
        <w:t>A supporto di singole parti del programma s</w:t>
      </w:r>
      <w:r w:rsidR="009353A3">
        <w:t xml:space="preserve">i utilizzeranno singoli capitoli scelti dall’uno o dall’altro manuale. </w:t>
      </w:r>
      <w:r w:rsidR="00982C99" w:rsidRPr="00A71885">
        <w:t xml:space="preserve">Indicazioni precise </w:t>
      </w:r>
      <w:r w:rsidR="003230CB">
        <w:t>su</w:t>
      </w:r>
      <w:r w:rsidR="009353A3">
        <w:t xml:space="preserve">ll’utilizzo </w:t>
      </w:r>
      <w:r w:rsidR="00982C99" w:rsidRPr="009353A3">
        <w:t>dei manuali</w:t>
      </w:r>
      <w:r w:rsidR="00982C99" w:rsidRPr="00A71885">
        <w:t xml:space="preserve"> e su eventuali materiali aggiuntivi saranno fornite dai docenti durante il corso.</w:t>
      </w:r>
    </w:p>
    <w:p w14:paraId="6AEBA028" w14:textId="77777777" w:rsidR="00982C99" w:rsidRDefault="00982C99" w:rsidP="00982C99">
      <w:pPr>
        <w:spacing w:before="240" w:after="120" w:line="220" w:lineRule="exact"/>
        <w:rPr>
          <w:b/>
          <w:i/>
          <w:sz w:val="18"/>
        </w:rPr>
      </w:pPr>
      <w:r>
        <w:rPr>
          <w:b/>
          <w:i/>
          <w:sz w:val="18"/>
        </w:rPr>
        <w:t>DIDATTICA DEL CORSO</w:t>
      </w:r>
    </w:p>
    <w:p w14:paraId="6C6C143E" w14:textId="77777777" w:rsidR="00982C99" w:rsidRDefault="00982C99" w:rsidP="00982C99">
      <w:pPr>
        <w:pStyle w:val="Testo2"/>
      </w:pPr>
      <w:r>
        <w:t>Lezioni frontali</w:t>
      </w:r>
      <w:r w:rsidRPr="001075E9">
        <w:t xml:space="preserve">. </w:t>
      </w:r>
    </w:p>
    <w:p w14:paraId="09517627" w14:textId="68EB1504" w:rsidR="00982C99" w:rsidRDefault="00982C99" w:rsidP="00982C99">
      <w:pPr>
        <w:pStyle w:val="Testo2"/>
      </w:pPr>
      <w:r>
        <w:t xml:space="preserve">Pur essendo articolato formalmente su due moduli, il corso ha </w:t>
      </w:r>
      <w:r w:rsidR="006072B2">
        <w:t>struttura unitaria</w:t>
      </w:r>
      <w:r>
        <w:t>. I docenti si alterneranno in aula secondo un calendario predefinito, comunicato all’inizio del corso.</w:t>
      </w:r>
    </w:p>
    <w:p w14:paraId="152E71BD" w14:textId="77777777" w:rsidR="00982C99" w:rsidRDefault="00982C99" w:rsidP="00982C99">
      <w:pPr>
        <w:pStyle w:val="Testo2"/>
      </w:pPr>
      <w:r w:rsidRPr="001075E9">
        <w:t xml:space="preserve">Sono </w:t>
      </w:r>
      <w:r>
        <w:t xml:space="preserve">previsti uno o due </w:t>
      </w:r>
      <w:r w:rsidRPr="001075E9">
        <w:t>seminari tenuti da</w:t>
      </w:r>
      <w:r>
        <w:t xml:space="preserve"> professionisti del settore</w:t>
      </w:r>
      <w:r w:rsidR="00BB4C39">
        <w:t>.</w:t>
      </w:r>
    </w:p>
    <w:p w14:paraId="4C13FC9E" w14:textId="77777777" w:rsidR="00982C99" w:rsidRDefault="00982C99" w:rsidP="00982C99">
      <w:pPr>
        <w:spacing w:before="240" w:after="120" w:line="220" w:lineRule="exact"/>
        <w:rPr>
          <w:b/>
          <w:i/>
          <w:sz w:val="18"/>
        </w:rPr>
      </w:pPr>
      <w:r>
        <w:rPr>
          <w:b/>
          <w:i/>
          <w:sz w:val="18"/>
        </w:rPr>
        <w:t>METODO E CRITERI DI VALUTAZIONE</w:t>
      </w:r>
    </w:p>
    <w:p w14:paraId="35CF09B9" w14:textId="77777777" w:rsidR="00982C99" w:rsidRDefault="00982C99" w:rsidP="00982C99">
      <w:pPr>
        <w:pStyle w:val="Testo2"/>
      </w:pPr>
      <w:r>
        <w:t>P</w:t>
      </w:r>
      <w:r w:rsidRPr="00B23C43">
        <w:t>rova scritta nelle date ufficiali d’appello</w:t>
      </w:r>
      <w:r>
        <w:t xml:space="preserve">, articolata su </w:t>
      </w:r>
      <w:r w:rsidRPr="00B23C43">
        <w:t>esercizi e domande</w:t>
      </w:r>
      <w:r>
        <w:t xml:space="preserve"> teoriche a risposta aperta. Anche se il corso è formalmente diviso in due moduli, l’esame è unico.</w:t>
      </w:r>
    </w:p>
    <w:p w14:paraId="62B4CD41" w14:textId="77777777" w:rsidR="00982C99" w:rsidRDefault="00982C99" w:rsidP="00982C99">
      <w:pPr>
        <w:pStyle w:val="Testo2"/>
      </w:pPr>
      <w:r>
        <w:t>È prevista una prova intermedia, rivolta ai soli studenti frequentanti, sul programma svolto nella prima parte del corso. Lo studente che ha superato la prova intermedia può completare l’esame, entro la sessione estiva, con una prova ad hoc (centrata sulla seconda parte del programma) nelle prime due date ufficiali d’appello. In tal caso, il voto è dato dalla media di prova intermedia e completamento, cui si aggiunge un punto per l’assidua frequenza. In caso di mancato completamento entro il secondo appello della sessione estiva, lo studente deve sostenere l’esame sull’intero programma secondo le modalità ordinarie.</w:t>
      </w:r>
    </w:p>
    <w:p w14:paraId="4D3328A7" w14:textId="77777777" w:rsidR="00982C99" w:rsidRDefault="00982C99" w:rsidP="00982C99">
      <w:pPr>
        <w:spacing w:before="240" w:after="120"/>
        <w:rPr>
          <w:b/>
          <w:i/>
          <w:sz w:val="18"/>
        </w:rPr>
      </w:pPr>
      <w:r>
        <w:rPr>
          <w:b/>
          <w:i/>
          <w:sz w:val="18"/>
        </w:rPr>
        <w:t>AVVERTENZE E PREREQUISITI</w:t>
      </w:r>
    </w:p>
    <w:p w14:paraId="3EAB7A0A" w14:textId="77777777" w:rsidR="00982C99" w:rsidRPr="00A71885" w:rsidRDefault="00982C99" w:rsidP="00982C99">
      <w:pPr>
        <w:pStyle w:val="Testo2"/>
        <w:rPr>
          <w:i/>
        </w:rPr>
      </w:pPr>
      <w:r w:rsidRPr="00A71885">
        <w:rPr>
          <w:i/>
        </w:rPr>
        <w:t>Prerequisiti</w:t>
      </w:r>
    </w:p>
    <w:p w14:paraId="5375B6A3" w14:textId="46B85C59" w:rsidR="00982C99" w:rsidRPr="0021183B" w:rsidRDefault="00982C99" w:rsidP="00982C99">
      <w:pPr>
        <w:pStyle w:val="Testo2"/>
      </w:pPr>
      <w:r>
        <w:t>Adeguata conoscenza del programma di</w:t>
      </w:r>
      <w:r w:rsidRPr="001075E9">
        <w:t xml:space="preserve"> Finanza Aziendale (asset pricing e finanziamento delle imprese)</w:t>
      </w:r>
      <w:r>
        <w:t xml:space="preserve">, nonché di  </w:t>
      </w:r>
      <w:r w:rsidRPr="00F86947">
        <w:rPr>
          <w:bCs/>
        </w:rPr>
        <w:t>Modelli per i Mercati Finanziari (Strumenti Derivati)</w:t>
      </w:r>
      <w:r>
        <w:rPr>
          <w:bCs/>
        </w:rPr>
        <w:t xml:space="preserve"> o E</w:t>
      </w:r>
      <w:r w:rsidRPr="0021183B">
        <w:rPr>
          <w:bCs/>
        </w:rPr>
        <w:t>conomia del Mercato Mobiliare (</w:t>
      </w:r>
      <w:r>
        <w:rPr>
          <w:bCs/>
        </w:rPr>
        <w:t>S</w:t>
      </w:r>
      <w:r w:rsidRPr="0021183B">
        <w:rPr>
          <w:bCs/>
        </w:rPr>
        <w:t>trum</w:t>
      </w:r>
      <w:r>
        <w:rPr>
          <w:bCs/>
        </w:rPr>
        <w:t>enti</w:t>
      </w:r>
      <w:r w:rsidRPr="0021183B">
        <w:rPr>
          <w:bCs/>
        </w:rPr>
        <w:t xml:space="preserve"> Derivati </w:t>
      </w:r>
      <w:r>
        <w:rPr>
          <w:bCs/>
        </w:rPr>
        <w:t>S</w:t>
      </w:r>
      <w:r w:rsidRPr="0021183B">
        <w:rPr>
          <w:bCs/>
        </w:rPr>
        <w:t>trutturati)</w:t>
      </w:r>
    </w:p>
    <w:p w14:paraId="65EC5F5B" w14:textId="77777777" w:rsidR="00982C99" w:rsidRPr="00A71885" w:rsidRDefault="00982C99" w:rsidP="00A71885">
      <w:pPr>
        <w:pStyle w:val="Testo2"/>
        <w:spacing w:before="120"/>
        <w:rPr>
          <w:i/>
        </w:rPr>
      </w:pPr>
      <w:r w:rsidRPr="00A71885">
        <w:rPr>
          <w:i/>
        </w:rPr>
        <w:t>Avvertenze</w:t>
      </w:r>
    </w:p>
    <w:p w14:paraId="38132596" w14:textId="60D43DDB" w:rsidR="00982C99" w:rsidRDefault="00982C99" w:rsidP="00982C99">
      <w:pPr>
        <w:pStyle w:val="Testo2"/>
      </w:pPr>
      <w:r>
        <w:t xml:space="preserve">Dati i prerequisiti e le caratteristiche effettive del corso, si </w:t>
      </w:r>
      <w:r w:rsidRPr="00F86947">
        <w:rPr>
          <w:u w:val="single"/>
        </w:rPr>
        <w:t>sconsiglia fortemente</w:t>
      </w:r>
      <w:r>
        <w:t xml:space="preserve"> l’inserimento dello stesso nel piano di studi per studenti che </w:t>
      </w:r>
      <w:r w:rsidRPr="00F86947">
        <w:rPr>
          <w:u w:val="single"/>
        </w:rPr>
        <w:t>non afferiscano</w:t>
      </w:r>
      <w:r>
        <w:t xml:space="preserve"> ai seguenti programmi di Laurea Magistrale: Economia e legislazione d’Impresa (indirizzo Finanziario), </w:t>
      </w:r>
      <w:r>
        <w:lastRenderedPageBreak/>
        <w:t>Management (con focus su insegnamenti finanziari), Economia (indirizzo Finanza Internazionale).</w:t>
      </w:r>
    </w:p>
    <w:p w14:paraId="4955E21C" w14:textId="63326DEC" w:rsidR="00496D9C" w:rsidRPr="00496D9C" w:rsidRDefault="00496D9C" w:rsidP="00496D9C">
      <w:pPr>
        <w:pStyle w:val="Testo2"/>
      </w:pPr>
      <w:r w:rsidRPr="00496D9C">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496D9C" w:rsidRPr="00496D9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A60AD" w14:textId="77777777" w:rsidR="00C17405" w:rsidRDefault="00C17405" w:rsidP="00C17405">
      <w:pPr>
        <w:spacing w:line="240" w:lineRule="auto"/>
      </w:pPr>
      <w:r>
        <w:separator/>
      </w:r>
    </w:p>
  </w:endnote>
  <w:endnote w:type="continuationSeparator" w:id="0">
    <w:p w14:paraId="478342C1" w14:textId="77777777" w:rsidR="00C17405" w:rsidRDefault="00C17405" w:rsidP="00C17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CA537" w14:textId="77777777" w:rsidR="00C17405" w:rsidRDefault="00C17405" w:rsidP="00C17405">
      <w:pPr>
        <w:spacing w:line="240" w:lineRule="auto"/>
      </w:pPr>
      <w:r>
        <w:separator/>
      </w:r>
    </w:p>
  </w:footnote>
  <w:footnote w:type="continuationSeparator" w:id="0">
    <w:p w14:paraId="33AC5743" w14:textId="77777777" w:rsidR="00C17405" w:rsidRDefault="00C17405" w:rsidP="00C17405">
      <w:pPr>
        <w:spacing w:line="240" w:lineRule="auto"/>
      </w:pPr>
      <w:r>
        <w:continuationSeparator/>
      </w:r>
    </w:p>
  </w:footnote>
  <w:footnote w:id="1">
    <w:p w14:paraId="4F94EF74" w14:textId="1D7598D9" w:rsidR="00C17405" w:rsidRDefault="00C1740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A443A"/>
    <w:multiLevelType w:val="multilevel"/>
    <w:tmpl w:val="EE3AC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39330600"/>
    <w:multiLevelType w:val="multilevel"/>
    <w:tmpl w:val="98740C2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nsid w:val="49A9231B"/>
    <w:multiLevelType w:val="multilevel"/>
    <w:tmpl w:val="ECE82A6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nsid w:val="50AF0DAC"/>
    <w:multiLevelType w:val="multilevel"/>
    <w:tmpl w:val="9DBCB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D8"/>
    <w:rsid w:val="00187B99"/>
    <w:rsid w:val="001E27B4"/>
    <w:rsid w:val="002014DD"/>
    <w:rsid w:val="002D5E17"/>
    <w:rsid w:val="003230CB"/>
    <w:rsid w:val="00337AD8"/>
    <w:rsid w:val="00390B4C"/>
    <w:rsid w:val="00496D9C"/>
    <w:rsid w:val="004C5CAF"/>
    <w:rsid w:val="004D1217"/>
    <w:rsid w:val="004D6008"/>
    <w:rsid w:val="005176AB"/>
    <w:rsid w:val="00530185"/>
    <w:rsid w:val="006072B2"/>
    <w:rsid w:val="00615089"/>
    <w:rsid w:val="00640794"/>
    <w:rsid w:val="006950C0"/>
    <w:rsid w:val="006F1772"/>
    <w:rsid w:val="006F565D"/>
    <w:rsid w:val="007F3BD5"/>
    <w:rsid w:val="008942E7"/>
    <w:rsid w:val="008A1204"/>
    <w:rsid w:val="00900CCA"/>
    <w:rsid w:val="00924B77"/>
    <w:rsid w:val="009353A3"/>
    <w:rsid w:val="009402AE"/>
    <w:rsid w:val="00940DA2"/>
    <w:rsid w:val="00982C99"/>
    <w:rsid w:val="009E055C"/>
    <w:rsid w:val="00A71885"/>
    <w:rsid w:val="00A74F6F"/>
    <w:rsid w:val="00AD7557"/>
    <w:rsid w:val="00B42710"/>
    <w:rsid w:val="00B50C5D"/>
    <w:rsid w:val="00B51253"/>
    <w:rsid w:val="00B525CC"/>
    <w:rsid w:val="00BB4C39"/>
    <w:rsid w:val="00C17405"/>
    <w:rsid w:val="00C258CC"/>
    <w:rsid w:val="00C424C0"/>
    <w:rsid w:val="00C64656"/>
    <w:rsid w:val="00CD1F7B"/>
    <w:rsid w:val="00D11343"/>
    <w:rsid w:val="00D404F2"/>
    <w:rsid w:val="00E01670"/>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0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C9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82C99"/>
    <w:pPr>
      <w:ind w:left="720"/>
      <w:contextualSpacing/>
    </w:pPr>
  </w:style>
  <w:style w:type="character" w:styleId="Enfasicorsivo">
    <w:name w:val="Emphasis"/>
    <w:basedOn w:val="Carpredefinitoparagrafo"/>
    <w:uiPriority w:val="20"/>
    <w:qFormat/>
    <w:rsid w:val="00982C99"/>
    <w:rPr>
      <w:i/>
      <w:iCs/>
    </w:rPr>
  </w:style>
  <w:style w:type="paragraph" w:styleId="Testofumetto">
    <w:name w:val="Balloon Text"/>
    <w:basedOn w:val="Normale"/>
    <w:link w:val="TestofumettoCarattere"/>
    <w:rsid w:val="00982C9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82C99"/>
    <w:rPr>
      <w:rFonts w:ascii="Segoe UI" w:hAnsi="Segoe UI" w:cs="Segoe UI"/>
      <w:sz w:val="18"/>
      <w:szCs w:val="18"/>
    </w:rPr>
  </w:style>
  <w:style w:type="paragraph" w:styleId="Testonotaapidipagina">
    <w:name w:val="footnote text"/>
    <w:basedOn w:val="Normale"/>
    <w:link w:val="TestonotaapidipaginaCarattere"/>
    <w:semiHidden/>
    <w:unhideWhenUsed/>
    <w:rsid w:val="00C1740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17405"/>
  </w:style>
  <w:style w:type="character" w:styleId="Rimandonotaapidipagina">
    <w:name w:val="footnote reference"/>
    <w:basedOn w:val="Carpredefinitoparagrafo"/>
    <w:semiHidden/>
    <w:unhideWhenUsed/>
    <w:rsid w:val="00C17405"/>
    <w:rPr>
      <w:vertAlign w:val="superscript"/>
    </w:rPr>
  </w:style>
  <w:style w:type="character" w:styleId="Collegamentoipertestuale">
    <w:name w:val="Hyperlink"/>
    <w:basedOn w:val="Carpredefinitoparagrafo"/>
    <w:unhideWhenUsed/>
    <w:rsid w:val="00C174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C9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82C99"/>
    <w:pPr>
      <w:ind w:left="720"/>
      <w:contextualSpacing/>
    </w:pPr>
  </w:style>
  <w:style w:type="character" w:styleId="Enfasicorsivo">
    <w:name w:val="Emphasis"/>
    <w:basedOn w:val="Carpredefinitoparagrafo"/>
    <w:uiPriority w:val="20"/>
    <w:qFormat/>
    <w:rsid w:val="00982C99"/>
    <w:rPr>
      <w:i/>
      <w:iCs/>
    </w:rPr>
  </w:style>
  <w:style w:type="paragraph" w:styleId="Testofumetto">
    <w:name w:val="Balloon Text"/>
    <w:basedOn w:val="Normale"/>
    <w:link w:val="TestofumettoCarattere"/>
    <w:rsid w:val="00982C9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82C99"/>
    <w:rPr>
      <w:rFonts w:ascii="Segoe UI" w:hAnsi="Segoe UI" w:cs="Segoe UI"/>
      <w:sz w:val="18"/>
      <w:szCs w:val="18"/>
    </w:rPr>
  </w:style>
  <w:style w:type="paragraph" w:styleId="Testonotaapidipagina">
    <w:name w:val="footnote text"/>
    <w:basedOn w:val="Normale"/>
    <w:link w:val="TestonotaapidipaginaCarattere"/>
    <w:semiHidden/>
    <w:unhideWhenUsed/>
    <w:rsid w:val="00C1740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17405"/>
  </w:style>
  <w:style w:type="character" w:styleId="Rimandonotaapidipagina">
    <w:name w:val="footnote reference"/>
    <w:basedOn w:val="Carpredefinitoparagrafo"/>
    <w:semiHidden/>
    <w:unhideWhenUsed/>
    <w:rsid w:val="00C17405"/>
    <w:rPr>
      <w:vertAlign w:val="superscript"/>
    </w:rPr>
  </w:style>
  <w:style w:type="character" w:styleId="Collegamentoipertestuale">
    <w:name w:val="Hyperlink"/>
    <w:basedOn w:val="Carpredefinitoparagrafo"/>
    <w:unhideWhenUsed/>
    <w:rsid w:val="00C174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teorie-di-portafoglio-e-analisi-degli-investimenti-9788838785924-527607.html" TargetMode="External"/><Relationship Id="rId4" Type="http://schemas.microsoft.com/office/2007/relationships/stylesWithEffects" Target="stylesWithEffects.xml"/><Relationship Id="rId9" Type="http://schemas.openxmlformats.org/officeDocument/2006/relationships/hyperlink" Target="https://librerie.unicatt.it/scheda-libro/bodie/investments-9781260083392-67086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6B00-8426-47CD-BAE6-10052480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932</Words>
  <Characters>5647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2019-05-07T09:01:00Z</cp:lastPrinted>
  <dcterms:created xsi:type="dcterms:W3CDTF">2021-05-19T13:47:00Z</dcterms:created>
  <dcterms:modified xsi:type="dcterms:W3CDTF">2021-06-29T09:09:00Z</dcterms:modified>
</cp:coreProperties>
</file>