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ABAA" w14:textId="77777777" w:rsidR="002D5E17" w:rsidRDefault="009819F8" w:rsidP="002D5E17">
      <w:pPr>
        <w:pStyle w:val="Titolo1"/>
      </w:pPr>
      <w:r>
        <w:t>Finanziamenti d’impresa</w:t>
      </w:r>
    </w:p>
    <w:p w14:paraId="2270850F" w14:textId="3A778ECB" w:rsidR="005D2F37" w:rsidRPr="005D2F37" w:rsidRDefault="009819F8" w:rsidP="005D2F37">
      <w:pPr>
        <w:pStyle w:val="Titolo2"/>
      </w:pPr>
      <w:r>
        <w:t>Prof. Giuliano Iannotta</w:t>
      </w:r>
      <w:r w:rsidR="0021058D">
        <w:t>; Prof.</w:t>
      </w:r>
      <w:r w:rsidR="005D2F37">
        <w:t xml:space="preserve"> Federica Poli</w:t>
      </w:r>
    </w:p>
    <w:p w14:paraId="6C2CF568" w14:textId="77777777" w:rsidR="009819F8" w:rsidRDefault="009819F8" w:rsidP="009819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CF9A49" w14:textId="77777777" w:rsidR="009819F8" w:rsidRDefault="009819F8" w:rsidP="009819F8">
      <w:r>
        <w:t>L’insegnamento si propone di illustrare agli studenti</w:t>
      </w:r>
      <w:r w:rsidRPr="009A4F1C">
        <w:t xml:space="preserve"> le principali operazioni di raccolta del capitale di rischio (in particolare IPO e private </w:t>
      </w:r>
      <w:proofErr w:type="spellStart"/>
      <w:r w:rsidRPr="009A4F1C">
        <w:t>equity</w:t>
      </w:r>
      <w:proofErr w:type="spellEnd"/>
      <w:r w:rsidRPr="009A4F1C">
        <w:t>) e di debito (in particolare prestiti sindacati e emissioni obbligazionarie).</w:t>
      </w:r>
      <w:r>
        <w:t xml:space="preserve"> La prospettiva di analisi è quella delle banche di investimento che strutturano e gestiscono tali operazioni.</w:t>
      </w:r>
    </w:p>
    <w:p w14:paraId="1E5E8D9B" w14:textId="77777777" w:rsidR="009819F8" w:rsidRDefault="009819F8" w:rsidP="009819F8">
      <w:r>
        <w:t>Saranno pertanto analizzati i meccanismi di determinazione del prezzo dei valori mobiliari oggetto di collocamento, i criteri di allocazione dei titoli tra le diverse categorie di investitori, le strategie di sindacazione, le</w:t>
      </w:r>
      <w:r w:rsidR="006C1AAE">
        <w:t xml:space="preserve"> remunerazioni</w:t>
      </w:r>
      <w:r>
        <w:t xml:space="preserve"> degli intermediari.</w:t>
      </w:r>
    </w:p>
    <w:p w14:paraId="2C6B37CB" w14:textId="77777777" w:rsidR="009819F8" w:rsidRDefault="009819F8" w:rsidP="009819F8">
      <w:r>
        <w:t>Al termine del corso lo studente:</w:t>
      </w:r>
    </w:p>
    <w:p w14:paraId="76FF4ADE" w14:textId="64880F1C" w:rsidR="009819F8" w:rsidRDefault="009819F8" w:rsidP="002277CA">
      <w:pPr>
        <w:ind w:left="284" w:hanging="284"/>
      </w:pPr>
      <w:r>
        <w:t>1.</w:t>
      </w:r>
      <w:r>
        <w:tab/>
      </w:r>
      <w:r w:rsidR="002277CA">
        <w:t>c</w:t>
      </w:r>
      <w:r>
        <w:t xml:space="preserve">onoscerà le diverse </w:t>
      </w:r>
      <w:r w:rsidR="002277CA">
        <w:t xml:space="preserve">modalità </w:t>
      </w:r>
      <w:r>
        <w:t>con le quali un’impresa raccoglie capitali nel mercato mobiliare</w:t>
      </w:r>
      <w:r w:rsidR="002277CA">
        <w:t xml:space="preserve"> e c</w:t>
      </w:r>
      <w:r>
        <w:t>omprenderà le strategie adottate dagli intermediari nella gestione delle operazioni di raccolta di capitale da parte delle imprese clienti</w:t>
      </w:r>
      <w:r w:rsidR="002277CA">
        <w:t>;</w:t>
      </w:r>
    </w:p>
    <w:p w14:paraId="3AE8238E" w14:textId="7DC73ADF" w:rsidR="009819F8" w:rsidRDefault="002277CA" w:rsidP="009819F8">
      <w:pPr>
        <w:ind w:left="284" w:hanging="284"/>
      </w:pPr>
      <w:r>
        <w:t>2</w:t>
      </w:r>
      <w:r w:rsidR="009819F8">
        <w:t>.</w:t>
      </w:r>
      <w:r w:rsidR="009819F8">
        <w:tab/>
      </w:r>
      <w:r>
        <w:t>s</w:t>
      </w:r>
      <w:r w:rsidR="009819F8">
        <w:t>aprà applicare le conoscenze acquisite, riuscendo a determinare il prezzo di collocamento di un titolo, a definire la migliore strategia di sindacazione, a massimizzare la remunerazione dell’intermediario</w:t>
      </w:r>
      <w:r>
        <w:t>;</w:t>
      </w:r>
    </w:p>
    <w:p w14:paraId="02BF9A32" w14:textId="7AED45EA" w:rsidR="002277CA" w:rsidRDefault="002277CA" w:rsidP="002277CA">
      <w:pPr>
        <w:ind w:left="284" w:hanging="284"/>
      </w:pPr>
      <w:r>
        <w:t>3</w:t>
      </w:r>
      <w:r w:rsidR="009819F8">
        <w:t>.</w:t>
      </w:r>
      <w:r w:rsidR="009819F8">
        <w:tab/>
      </w:r>
      <w:r>
        <w:t>s</w:t>
      </w:r>
      <w:r w:rsidR="009819F8">
        <w:t>aprà formulare giudizi (anche sulla base di informazioni parziali) in relazione ad operazioni di raccolta del capitale concretamente realizzate</w:t>
      </w:r>
      <w:r>
        <w:t>;</w:t>
      </w:r>
    </w:p>
    <w:p w14:paraId="06D75A94" w14:textId="0499F1FC" w:rsidR="002277CA" w:rsidRPr="002277CA" w:rsidRDefault="002277CA" w:rsidP="005606A1">
      <w:pPr>
        <w:ind w:left="284" w:hanging="284"/>
      </w:pPr>
      <w:r>
        <w:rPr>
          <w:rFonts w:ascii="Times Roman" w:hAnsi="Times Roman"/>
          <w:szCs w:val="18"/>
        </w:rPr>
        <w:t>4.</w:t>
      </w:r>
      <w:r w:rsidR="0021058D">
        <w:rPr>
          <w:rFonts w:ascii="Times Roman" w:hAnsi="Times Roman"/>
          <w:szCs w:val="18"/>
        </w:rPr>
        <w:tab/>
      </w:r>
      <w:r w:rsidRPr="005606A1">
        <w:rPr>
          <w:rFonts w:ascii="Times Roman" w:hAnsi="Times Roman"/>
          <w:szCs w:val="18"/>
        </w:rPr>
        <w:t>avrà acquisito un linguaggio tecnico appropriato che gli consent</w:t>
      </w:r>
      <w:r w:rsidR="00630AC4">
        <w:rPr>
          <w:rFonts w:ascii="Times Roman" w:hAnsi="Times Roman"/>
          <w:szCs w:val="18"/>
        </w:rPr>
        <w:t>irà</w:t>
      </w:r>
      <w:r w:rsidRPr="005606A1">
        <w:rPr>
          <w:rFonts w:ascii="Times Roman" w:hAnsi="Times Roman"/>
          <w:szCs w:val="18"/>
        </w:rPr>
        <w:t xml:space="preserve"> di comunicare con chiarezza ed efficacia le conoscenze acquisite;</w:t>
      </w:r>
    </w:p>
    <w:p w14:paraId="4B4DE858" w14:textId="0EEBF3EE" w:rsidR="002277CA" w:rsidRDefault="002277CA" w:rsidP="002277CA">
      <w:pPr>
        <w:ind w:left="284" w:hanging="284"/>
      </w:pPr>
      <w:r>
        <w:rPr>
          <w:rFonts w:ascii="Times Roman" w:hAnsi="Times Roman"/>
          <w:szCs w:val="18"/>
        </w:rPr>
        <w:t>5.</w:t>
      </w:r>
      <w:r w:rsidR="0021058D">
        <w:rPr>
          <w:rFonts w:ascii="Times Roman" w:hAnsi="Times Roman"/>
          <w:szCs w:val="18"/>
        </w:rPr>
        <w:tab/>
      </w:r>
      <w:r w:rsidRPr="00772C86">
        <w:rPr>
          <w:rFonts w:ascii="Times Roman" w:hAnsi="Times Roman"/>
          <w:szCs w:val="18"/>
        </w:rPr>
        <w:t>avrà</w:t>
      </w:r>
      <w:r>
        <w:rPr>
          <w:rFonts w:ascii="Times Roman" w:hAnsi="Times Roman"/>
          <w:szCs w:val="18"/>
        </w:rPr>
        <w:t xml:space="preserve"> </w:t>
      </w:r>
      <w:r w:rsidRPr="00772C86">
        <w:rPr>
          <w:rFonts w:ascii="Times Roman" w:hAnsi="Times Roman"/>
          <w:szCs w:val="18"/>
        </w:rPr>
        <w:t>potenziato le sue capacità di apprendimento in modo da consentirgli di intraprendere con maggiore autonomia studi successivi di livello più approfondito in ambito finanziario</w:t>
      </w:r>
      <w:r>
        <w:rPr>
          <w:rFonts w:ascii="Times Roman" w:hAnsi="Times Roman"/>
          <w:szCs w:val="18"/>
        </w:rPr>
        <w:t>.</w:t>
      </w:r>
    </w:p>
    <w:p w14:paraId="4558ACB8" w14:textId="7B096FC2" w:rsidR="009819F8" w:rsidRDefault="009819F8" w:rsidP="009819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9FB4019" w14:textId="77777777" w:rsidR="00537BF6" w:rsidRPr="009819F8" w:rsidRDefault="00537BF6" w:rsidP="00537BF6">
      <w:pPr>
        <w:spacing w:before="120"/>
        <w:rPr>
          <w:i/>
        </w:rPr>
      </w:pPr>
      <w:r w:rsidRPr="009819F8">
        <w:rPr>
          <w:i/>
        </w:rPr>
        <w:t>Capitale di debito</w:t>
      </w:r>
    </w:p>
    <w:p w14:paraId="26D6C478" w14:textId="0AB10FAA" w:rsidR="00537BF6" w:rsidRPr="009A4F1C" w:rsidRDefault="00672D74" w:rsidP="00537BF6">
      <w:r>
        <w:t>1.</w:t>
      </w:r>
      <w:r w:rsidR="00537BF6" w:rsidRPr="009A4F1C">
        <w:tab/>
        <w:t>Cenni sul rischio di credito</w:t>
      </w:r>
    </w:p>
    <w:p w14:paraId="183BEAB7" w14:textId="6F38C0CC" w:rsidR="00537BF6" w:rsidRPr="009A4F1C" w:rsidRDefault="00672D74" w:rsidP="00537BF6">
      <w:r>
        <w:t>2</w:t>
      </w:r>
      <w:r w:rsidR="00537BF6" w:rsidRPr="009A4F1C">
        <w:t>.</w:t>
      </w:r>
      <w:r w:rsidR="00537BF6" w:rsidRPr="009A4F1C">
        <w:tab/>
        <w:t>Emissioni obbligazionarie</w:t>
      </w:r>
    </w:p>
    <w:p w14:paraId="4DA82E05" w14:textId="63E9D3CE" w:rsidR="00537BF6" w:rsidRDefault="00537BF6" w:rsidP="005606A1">
      <w:pPr>
        <w:ind w:firstLine="284"/>
      </w:pPr>
      <w:r w:rsidRPr="009A4F1C">
        <w:t>a.</w:t>
      </w:r>
      <w:r w:rsidRPr="009A4F1C">
        <w:tab/>
        <w:t>Struttura dell’operazione</w:t>
      </w:r>
    </w:p>
    <w:p w14:paraId="04F82B25" w14:textId="60E2F53A" w:rsidR="00672D74" w:rsidRPr="009A4F1C" w:rsidRDefault="00672D74" w:rsidP="005606A1">
      <w:pPr>
        <w:ind w:firstLine="284"/>
      </w:pPr>
      <w:r>
        <w:t>b.</w:t>
      </w:r>
      <w:r w:rsidR="0021058D">
        <w:tab/>
      </w:r>
      <w:r>
        <w:t xml:space="preserve">Tipologie di </w:t>
      </w:r>
      <w:r w:rsidR="00B46C56">
        <w:t>titoli obbligazionari</w:t>
      </w:r>
    </w:p>
    <w:p w14:paraId="47FA50DB" w14:textId="5A2539D7" w:rsidR="00537BF6" w:rsidRPr="009A4F1C" w:rsidRDefault="00672D74" w:rsidP="005606A1">
      <w:pPr>
        <w:ind w:firstLine="284"/>
      </w:pPr>
      <w:r>
        <w:t>c</w:t>
      </w:r>
      <w:r w:rsidR="00537BF6" w:rsidRPr="009A4F1C">
        <w:t>.</w:t>
      </w:r>
      <w:r w:rsidR="00537BF6" w:rsidRPr="009A4F1C">
        <w:tab/>
        <w:t>Tecniche di determinazione del prezzo</w:t>
      </w:r>
    </w:p>
    <w:p w14:paraId="68FCAFA2" w14:textId="6128D302" w:rsidR="00537BF6" w:rsidRDefault="00672D74" w:rsidP="005606A1">
      <w:pPr>
        <w:ind w:firstLine="284"/>
      </w:pPr>
      <w:r>
        <w:t>d</w:t>
      </w:r>
      <w:r w:rsidR="00537BF6" w:rsidRPr="009A4F1C">
        <w:t>.</w:t>
      </w:r>
      <w:r w:rsidR="00537BF6" w:rsidRPr="009A4F1C">
        <w:tab/>
        <w:t>Sindacato</w:t>
      </w:r>
      <w:r w:rsidR="005D2F37">
        <w:t xml:space="preserve"> di collocamento</w:t>
      </w:r>
    </w:p>
    <w:p w14:paraId="40EABE08" w14:textId="7BDA9F1E" w:rsidR="00537BF6" w:rsidRDefault="00672D74" w:rsidP="00537BF6">
      <w:r>
        <w:t>3</w:t>
      </w:r>
      <w:r w:rsidR="00537BF6" w:rsidRPr="009A4F1C">
        <w:t>.</w:t>
      </w:r>
      <w:r w:rsidR="00537BF6" w:rsidRPr="009A4F1C">
        <w:tab/>
        <w:t>Prestiti sindacati.</w:t>
      </w:r>
    </w:p>
    <w:p w14:paraId="209C8A4C" w14:textId="144F7041" w:rsidR="00672D74" w:rsidRPr="009A4F1C" w:rsidRDefault="00672D74" w:rsidP="00537BF6">
      <w:r>
        <w:t>4.</w:t>
      </w:r>
      <w:r w:rsidR="0021058D">
        <w:tab/>
      </w:r>
      <w:bookmarkStart w:id="0" w:name="_GoBack"/>
      <w:bookmarkEnd w:id="0"/>
      <w:proofErr w:type="spellStart"/>
      <w:r>
        <w:t>L</w:t>
      </w:r>
      <w:r w:rsidR="00B46C56">
        <w:t>everaged</w:t>
      </w:r>
      <w:proofErr w:type="spellEnd"/>
      <w:r w:rsidR="00B46C56">
        <w:t xml:space="preserve"> </w:t>
      </w:r>
      <w:r>
        <w:t>B</w:t>
      </w:r>
      <w:r w:rsidR="00B46C56">
        <w:t>uy-Out</w:t>
      </w:r>
    </w:p>
    <w:p w14:paraId="6A89C96E" w14:textId="49E3CDB4" w:rsidR="00537BF6" w:rsidRDefault="00672D74" w:rsidP="005606A1">
      <w:pPr>
        <w:rPr>
          <w:b/>
          <w:sz w:val="18"/>
        </w:rPr>
      </w:pPr>
      <w:r>
        <w:t>5</w:t>
      </w:r>
      <w:r w:rsidR="00537BF6" w:rsidRPr="009A4F1C">
        <w:t>.</w:t>
      </w:r>
      <w:r w:rsidR="00537BF6" w:rsidRPr="009A4F1C">
        <w:tab/>
        <w:t>Ristrutturazione del debito</w:t>
      </w:r>
    </w:p>
    <w:p w14:paraId="75E6EEF9" w14:textId="77777777" w:rsidR="009819F8" w:rsidRPr="009819F8" w:rsidRDefault="009819F8" w:rsidP="005606A1">
      <w:pPr>
        <w:spacing w:before="120"/>
        <w:rPr>
          <w:i/>
        </w:rPr>
      </w:pPr>
      <w:r w:rsidRPr="009819F8">
        <w:rPr>
          <w:i/>
        </w:rPr>
        <w:t>Capitale di rischio</w:t>
      </w:r>
    </w:p>
    <w:p w14:paraId="376AC862" w14:textId="74AB6A92" w:rsidR="009819F8" w:rsidRPr="009A4F1C" w:rsidRDefault="00672D74" w:rsidP="009819F8">
      <w:r>
        <w:lastRenderedPageBreak/>
        <w:t>1.</w:t>
      </w:r>
      <w:r w:rsidR="009819F8" w:rsidRPr="009A4F1C">
        <w:tab/>
        <w:t>Cenni sulla valutazione delle imprese.</w:t>
      </w:r>
    </w:p>
    <w:p w14:paraId="1696303F" w14:textId="6F2448A4" w:rsidR="009819F8" w:rsidRPr="009A4F1C" w:rsidRDefault="00672D74" w:rsidP="009819F8">
      <w:r>
        <w:t>2</w:t>
      </w:r>
      <w:r w:rsidR="009819F8" w:rsidRPr="009A4F1C">
        <w:t>.</w:t>
      </w:r>
      <w:r w:rsidR="009819F8" w:rsidRPr="009A4F1C">
        <w:tab/>
        <w:t>IPO</w:t>
      </w:r>
      <w:r w:rsidR="009819F8">
        <w:t>.</w:t>
      </w:r>
    </w:p>
    <w:p w14:paraId="1AC58FCB" w14:textId="308987C6" w:rsidR="009819F8" w:rsidRPr="009A4F1C" w:rsidRDefault="009819F8" w:rsidP="005606A1">
      <w:pPr>
        <w:ind w:firstLine="284"/>
      </w:pPr>
      <w:r w:rsidRPr="009A4F1C">
        <w:t>a.</w:t>
      </w:r>
      <w:r w:rsidRPr="009A4F1C">
        <w:tab/>
        <w:t>Struttura dell’operazione.</w:t>
      </w:r>
    </w:p>
    <w:p w14:paraId="282A2D59" w14:textId="272A8BC0" w:rsidR="009819F8" w:rsidRPr="009A4F1C" w:rsidRDefault="009819F8" w:rsidP="005606A1">
      <w:pPr>
        <w:ind w:firstLine="284"/>
      </w:pPr>
      <w:r w:rsidRPr="009A4F1C">
        <w:t>b.</w:t>
      </w:r>
      <w:r w:rsidRPr="009A4F1C">
        <w:tab/>
        <w:t>Tecniche di determinazione del prezzo.</w:t>
      </w:r>
    </w:p>
    <w:p w14:paraId="751A778F" w14:textId="26400FE8" w:rsidR="009819F8" w:rsidRPr="009A4F1C" w:rsidRDefault="009819F8" w:rsidP="005606A1">
      <w:pPr>
        <w:ind w:firstLine="284"/>
      </w:pPr>
      <w:r w:rsidRPr="009A4F1C">
        <w:t>c.</w:t>
      </w:r>
      <w:r w:rsidRPr="009A4F1C">
        <w:tab/>
        <w:t>Sindacato.</w:t>
      </w:r>
    </w:p>
    <w:p w14:paraId="1369AD0D" w14:textId="5E03A11B" w:rsidR="009819F8" w:rsidRPr="009A4F1C" w:rsidRDefault="00672D74" w:rsidP="009819F8">
      <w:r>
        <w:t>3</w:t>
      </w:r>
      <w:r w:rsidR="009819F8">
        <w:t>.</w:t>
      </w:r>
      <w:r w:rsidR="009819F8" w:rsidRPr="009A4F1C">
        <w:tab/>
        <w:t>Aumenti di capitale</w:t>
      </w:r>
      <w:r w:rsidR="009819F8">
        <w:t>.</w:t>
      </w:r>
    </w:p>
    <w:p w14:paraId="58208830" w14:textId="4C486771" w:rsidR="009819F8" w:rsidRPr="009A4F1C" w:rsidRDefault="00672D74" w:rsidP="009819F8">
      <w:r>
        <w:t>4</w:t>
      </w:r>
      <w:r w:rsidR="009819F8" w:rsidRPr="009A4F1C">
        <w:t>.</w:t>
      </w:r>
      <w:r w:rsidR="009819F8" w:rsidRPr="009A4F1C">
        <w:tab/>
        <w:t xml:space="preserve">Private </w:t>
      </w:r>
      <w:proofErr w:type="spellStart"/>
      <w:r w:rsidR="009819F8" w:rsidRPr="009A4F1C">
        <w:t>equity</w:t>
      </w:r>
      <w:proofErr w:type="spellEnd"/>
      <w:r w:rsidR="009819F8">
        <w:t>.</w:t>
      </w:r>
    </w:p>
    <w:p w14:paraId="731589AD" w14:textId="77777777" w:rsidR="009819F8" w:rsidRPr="009A4F1C" w:rsidRDefault="009819F8" w:rsidP="009819F8">
      <w:r w:rsidRPr="009A4F1C">
        <w:tab/>
        <w:t>a.</w:t>
      </w:r>
      <w:r w:rsidRPr="009A4F1C">
        <w:tab/>
        <w:t>Struttura dei fondi.</w:t>
      </w:r>
    </w:p>
    <w:p w14:paraId="38FE2801" w14:textId="09B6D04D" w:rsidR="009819F8" w:rsidRPr="009A4F1C" w:rsidRDefault="009819F8" w:rsidP="009819F8">
      <w:r w:rsidRPr="009A4F1C">
        <w:tab/>
      </w:r>
      <w:r w:rsidR="005606A1">
        <w:t>b</w:t>
      </w:r>
      <w:r w:rsidRPr="009A4F1C">
        <w:t>.</w:t>
      </w:r>
      <w:r w:rsidRPr="009A4F1C">
        <w:tab/>
        <w:t>Venture capital.</w:t>
      </w:r>
    </w:p>
    <w:p w14:paraId="6DF0D7F3" w14:textId="6B0A66D7" w:rsidR="009819F8" w:rsidRDefault="00122905" w:rsidP="0012290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58490D">
        <w:rPr>
          <w:rStyle w:val="Rimandonotaapidipagina"/>
          <w:b/>
          <w:i/>
          <w:sz w:val="18"/>
        </w:rPr>
        <w:footnoteReference w:id="1"/>
      </w:r>
    </w:p>
    <w:p w14:paraId="6F0AE606" w14:textId="5585BD32" w:rsidR="005D2F37" w:rsidRDefault="00122905" w:rsidP="009E5852">
      <w:pPr>
        <w:pStyle w:val="Testo1"/>
        <w:spacing w:before="0" w:line="240" w:lineRule="atLeast"/>
        <w:rPr>
          <w:spacing w:val="-5"/>
        </w:rPr>
      </w:pPr>
      <w:r w:rsidRPr="00122905">
        <w:rPr>
          <w:smallCaps/>
          <w:spacing w:val="-5"/>
          <w:sz w:val="16"/>
        </w:rPr>
        <w:t>G. Iannotta,</w:t>
      </w:r>
      <w:r w:rsidRPr="00122905">
        <w:rPr>
          <w:i/>
          <w:spacing w:val="-5"/>
        </w:rPr>
        <w:t xml:space="preserve"> Intermediari finanziari e mercato dei capitali,</w:t>
      </w:r>
      <w:r w:rsidRPr="00122905">
        <w:rPr>
          <w:spacing w:val="-5"/>
        </w:rPr>
        <w:t xml:space="preserve"> VeP, 2015.</w:t>
      </w:r>
      <w:r w:rsidR="0058490D">
        <w:rPr>
          <w:spacing w:val="-5"/>
        </w:rPr>
        <w:t xml:space="preserve"> </w:t>
      </w:r>
      <w:hyperlink r:id="rId8" w:history="1">
        <w:r w:rsidR="0058490D" w:rsidRPr="0058490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4DD9B7" w14:textId="1F3CBA2E" w:rsidR="00122905" w:rsidRPr="004A3F7B" w:rsidRDefault="00122905" w:rsidP="005606A1">
      <w:pPr>
        <w:pStyle w:val="Testo1"/>
        <w:ind w:left="0" w:firstLine="0"/>
      </w:pPr>
      <w:r w:rsidRPr="004A3F7B">
        <w:t>Materiale integrativo distribuito da</w:t>
      </w:r>
      <w:r w:rsidR="008060A5">
        <w:t>i</w:t>
      </w:r>
      <w:r w:rsidRPr="004A3F7B">
        <w:t xml:space="preserve"> docent</w:t>
      </w:r>
      <w:r w:rsidR="008060A5">
        <w:t>i</w:t>
      </w:r>
      <w:r w:rsidRPr="004A3F7B">
        <w:t xml:space="preserve"> tramite Blackboard</w:t>
      </w:r>
      <w:r>
        <w:t>.</w:t>
      </w:r>
    </w:p>
    <w:p w14:paraId="77A61D0A" w14:textId="77777777" w:rsidR="00122905" w:rsidRDefault="00122905" w:rsidP="001229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B5077D" w14:textId="560A9A62" w:rsidR="00122905" w:rsidRPr="004A3F7B" w:rsidRDefault="00122905" w:rsidP="00122905">
      <w:pPr>
        <w:pStyle w:val="Testo2"/>
      </w:pPr>
      <w:r w:rsidRPr="004A3F7B">
        <w:t>Lezioni frontali e testimonianze di esperti.</w:t>
      </w:r>
      <w:r w:rsidR="008A5398">
        <w:t xml:space="preserve"> Sono altresì previste esercitazioni su alcune parti del corso.</w:t>
      </w:r>
    </w:p>
    <w:p w14:paraId="4DED0DD1" w14:textId="77777777" w:rsidR="00122905" w:rsidRDefault="00122905" w:rsidP="001229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A37E8BD" w14:textId="77777777" w:rsidR="00122905" w:rsidRPr="004A3F7B" w:rsidRDefault="00122905" w:rsidP="00122905">
      <w:pPr>
        <w:pStyle w:val="Testo2"/>
      </w:pPr>
      <w:r w:rsidRPr="004A3F7B">
        <w:t xml:space="preserve">La verifica dell’apprendimento si basa su una prova scritta finale della durata di 40 minuti, costituita da dieci domande a risposta multipla con quattro risposte alternative (di cui una sola è corretta). A ciascuna risposta corretta è assegnato un punteggio pari a 3 (non vi sono penalità per </w:t>
      </w:r>
      <w:r w:rsidR="006C1AAE">
        <w:t>le risposte mancanti o errate).</w:t>
      </w:r>
    </w:p>
    <w:p w14:paraId="6DE85E05" w14:textId="77777777" w:rsidR="006C1AAE" w:rsidRPr="004A3F7B" w:rsidRDefault="00122905" w:rsidP="006C1AAE">
      <w:pPr>
        <w:pStyle w:val="Testo2"/>
      </w:pPr>
      <w:r w:rsidRPr="004A3F7B">
        <w:t xml:space="preserve">La prova non ha l’obiettivo di accertare la conoscenza mnemonica degli argomenti trattati, bensì l’effettiva comprensione dei concetti fondamentali acquisiti durante </w:t>
      </w:r>
      <w:r>
        <w:t>il corso. Alcune domande preved</w:t>
      </w:r>
      <w:r w:rsidRPr="004A3F7B">
        <w:t>o</w:t>
      </w:r>
      <w:r>
        <w:t>no</w:t>
      </w:r>
      <w:r w:rsidRPr="004A3F7B">
        <w:t xml:space="preserve"> inoltre la </w:t>
      </w:r>
      <w:r w:rsidR="006C1AAE">
        <w:t>soluzione di problemi numerici.</w:t>
      </w:r>
    </w:p>
    <w:p w14:paraId="066BCAF9" w14:textId="77777777" w:rsidR="00122905" w:rsidRPr="004A3F7B" w:rsidRDefault="00122905" w:rsidP="00122905">
      <w:pPr>
        <w:pStyle w:val="Testo2"/>
      </w:pPr>
      <w:r w:rsidRPr="004A3F7B">
        <w:t>La prova, che si terrà al termine del corso, è la medesima per gli studenti frequentanti e non frequentanti.</w:t>
      </w:r>
    </w:p>
    <w:p w14:paraId="70566E52" w14:textId="77777777" w:rsidR="00122905" w:rsidRDefault="00122905" w:rsidP="001229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ED34503" w14:textId="371D51EB" w:rsidR="00122905" w:rsidRDefault="00122905" w:rsidP="00122905">
      <w:pPr>
        <w:pStyle w:val="Testo2"/>
      </w:pPr>
      <w:r w:rsidRPr="009A4F1C">
        <w:t xml:space="preserve">Le conoscenze richieste sono quelle acquisite nel corso di Economia </w:t>
      </w:r>
      <w:r w:rsidR="008A5398">
        <w:t>e</w:t>
      </w:r>
      <w:r w:rsidR="00AD3958">
        <w:t xml:space="preserve"> </w:t>
      </w:r>
      <w:r w:rsidR="008A5398">
        <w:t xml:space="preserve">gestione della banca </w:t>
      </w:r>
      <w:r w:rsidRPr="009A4F1C">
        <w:t xml:space="preserve">(o Economia degli </w:t>
      </w:r>
      <w:r>
        <w:t>i</w:t>
      </w:r>
      <w:r w:rsidRPr="009A4F1C">
        <w:t xml:space="preserve">ntermediari </w:t>
      </w:r>
      <w:r>
        <w:t>f</w:t>
      </w:r>
      <w:r w:rsidRPr="009A4F1C">
        <w:t>inanziari) di laurea triennale.</w:t>
      </w:r>
    </w:p>
    <w:p w14:paraId="4A0B5C6E" w14:textId="77777777" w:rsidR="00A31CA6" w:rsidRPr="00CA14DC" w:rsidRDefault="00A31CA6" w:rsidP="00A31CA6">
      <w:pPr>
        <w:pStyle w:val="Testo2"/>
        <w:spacing w:before="120"/>
      </w:pPr>
      <w:r w:rsidRPr="00CA14DC">
        <w:rPr>
          <w:iCs/>
        </w:rPr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</w:p>
    <w:sectPr w:rsidR="00A31CA6" w:rsidRPr="00CA14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A440" w16cex:dateUtc="2021-05-04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C964C3" w16cid:durableId="243BA4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9691" w14:textId="77777777" w:rsidR="0058490D" w:rsidRDefault="0058490D" w:rsidP="0058490D">
      <w:pPr>
        <w:spacing w:line="240" w:lineRule="auto"/>
      </w:pPr>
      <w:r>
        <w:separator/>
      </w:r>
    </w:p>
  </w:endnote>
  <w:endnote w:type="continuationSeparator" w:id="0">
    <w:p w14:paraId="2E67C1D7" w14:textId="77777777" w:rsidR="0058490D" w:rsidRDefault="0058490D" w:rsidP="00584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4510" w14:textId="77777777" w:rsidR="0058490D" w:rsidRDefault="0058490D" w:rsidP="0058490D">
      <w:pPr>
        <w:spacing w:line="240" w:lineRule="auto"/>
      </w:pPr>
      <w:r>
        <w:separator/>
      </w:r>
    </w:p>
  </w:footnote>
  <w:footnote w:type="continuationSeparator" w:id="0">
    <w:p w14:paraId="3F30F5D4" w14:textId="77777777" w:rsidR="0058490D" w:rsidRDefault="0058490D" w:rsidP="0058490D">
      <w:pPr>
        <w:spacing w:line="240" w:lineRule="auto"/>
      </w:pPr>
      <w:r>
        <w:continuationSeparator/>
      </w:r>
    </w:p>
  </w:footnote>
  <w:footnote w:id="1">
    <w:p w14:paraId="091837A0" w14:textId="1AF6F5B1" w:rsidR="0058490D" w:rsidRDefault="005849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261"/>
    <w:multiLevelType w:val="hybridMultilevel"/>
    <w:tmpl w:val="76B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80CAD"/>
    <w:multiLevelType w:val="hybridMultilevel"/>
    <w:tmpl w:val="22EC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4C"/>
    <w:rsid w:val="00122905"/>
    <w:rsid w:val="00187B99"/>
    <w:rsid w:val="002014DD"/>
    <w:rsid w:val="0021058D"/>
    <w:rsid w:val="002277CA"/>
    <w:rsid w:val="002D5E17"/>
    <w:rsid w:val="004D1217"/>
    <w:rsid w:val="004D6008"/>
    <w:rsid w:val="004F25A8"/>
    <w:rsid w:val="00537BF6"/>
    <w:rsid w:val="005606A1"/>
    <w:rsid w:val="0058490D"/>
    <w:rsid w:val="00590B8E"/>
    <w:rsid w:val="005D2F37"/>
    <w:rsid w:val="00630AC4"/>
    <w:rsid w:val="00640794"/>
    <w:rsid w:val="00672D74"/>
    <w:rsid w:val="006C1AAE"/>
    <w:rsid w:val="006F1772"/>
    <w:rsid w:val="008060A5"/>
    <w:rsid w:val="00867049"/>
    <w:rsid w:val="008942E7"/>
    <w:rsid w:val="008A1204"/>
    <w:rsid w:val="008A5398"/>
    <w:rsid w:val="00900CCA"/>
    <w:rsid w:val="00924B77"/>
    <w:rsid w:val="00940DA2"/>
    <w:rsid w:val="009819F8"/>
    <w:rsid w:val="009E055C"/>
    <w:rsid w:val="009E5852"/>
    <w:rsid w:val="00A31CA6"/>
    <w:rsid w:val="00A74F6F"/>
    <w:rsid w:val="00AD3958"/>
    <w:rsid w:val="00AD7557"/>
    <w:rsid w:val="00B06863"/>
    <w:rsid w:val="00B46C56"/>
    <w:rsid w:val="00B50C5D"/>
    <w:rsid w:val="00B51253"/>
    <w:rsid w:val="00B525CC"/>
    <w:rsid w:val="00CA14DC"/>
    <w:rsid w:val="00D404F2"/>
    <w:rsid w:val="00E607E6"/>
    <w:rsid w:val="00E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BBCED"/>
  <w15:docId w15:val="{CDCAC182-E80D-4CC7-B391-6022BB2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2277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7C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7C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27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277CA"/>
    <w:rPr>
      <w:b/>
      <w:bCs/>
    </w:rPr>
  </w:style>
  <w:style w:type="paragraph" w:styleId="Paragrafoelenco">
    <w:name w:val="List Paragraph"/>
    <w:basedOn w:val="Normale"/>
    <w:uiPriority w:val="34"/>
    <w:qFormat/>
    <w:rsid w:val="002277C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8670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04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849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90D"/>
  </w:style>
  <w:style w:type="character" w:styleId="Rimandonotaapidipagina">
    <w:name w:val="footnote reference"/>
    <w:basedOn w:val="Carpredefinitoparagrafo"/>
    <w:rsid w:val="0058490D"/>
    <w:rPr>
      <w:vertAlign w:val="superscript"/>
    </w:rPr>
  </w:style>
  <w:style w:type="character" w:styleId="Collegamentoipertestuale">
    <w:name w:val="Hyperlink"/>
    <w:basedOn w:val="Carpredefinitoparagrafo"/>
    <w:rsid w:val="00584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liano-iannotta/intermediari-finanziari-e-mercato-dei-capitali-9788834329825-230193.htm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44CA-909B-488D-B939-F236E30C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4</cp:revision>
  <cp:lastPrinted>2003-03-27T10:42:00Z</cp:lastPrinted>
  <dcterms:created xsi:type="dcterms:W3CDTF">2021-05-19T12:19:00Z</dcterms:created>
  <dcterms:modified xsi:type="dcterms:W3CDTF">2021-06-29T09:45:00Z</dcterms:modified>
</cp:coreProperties>
</file>