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944" w:rsidRDefault="00AE1A1B">
      <w:pPr>
        <w:pStyle w:val="Titolo1"/>
      </w:pPr>
      <w:r>
        <w:t>Financial mathematics</w:t>
      </w:r>
    </w:p>
    <w:p w:rsidR="00871944" w:rsidRDefault="00AE1A1B">
      <w:pPr>
        <w:pStyle w:val="Titolo2"/>
      </w:pPr>
      <w:r w:rsidRPr="00621F64">
        <w:t xml:space="preserve">Gr. A-K: Prof. </w:t>
      </w:r>
      <w:r>
        <w:rPr>
          <w:lang w:val="it-IT"/>
        </w:rPr>
        <w:t xml:space="preserve">Ornella </w:t>
      </w:r>
      <w:proofErr w:type="spellStart"/>
      <w:r>
        <w:rPr>
          <w:lang w:val="it-IT"/>
        </w:rPr>
        <w:t>Dallavalle</w:t>
      </w:r>
      <w:proofErr w:type="spellEnd"/>
      <w:r>
        <w:rPr>
          <w:lang w:val="it-IT"/>
        </w:rPr>
        <w:t xml:space="preserve">; Gr. L-Z: Prof. </w:t>
      </w:r>
      <w:r>
        <w:t xml:space="preserve">Guido </w:t>
      </w:r>
      <w:proofErr w:type="spellStart"/>
      <w:r>
        <w:t>Ceccarossi</w:t>
      </w:r>
      <w:proofErr w:type="spellEnd"/>
    </w:p>
    <w:p w:rsidR="00871944" w:rsidRDefault="00AE1A1B">
      <w:pPr>
        <w:spacing w:before="240" w:after="120"/>
        <w:rPr>
          <w:b/>
          <w:bCs/>
          <w:i/>
          <w:iCs/>
          <w:sz w:val="18"/>
          <w:szCs w:val="18"/>
          <w:lang w:val="en-US"/>
        </w:rPr>
      </w:pPr>
      <w:r>
        <w:rPr>
          <w:b/>
          <w:bCs/>
          <w:i/>
          <w:iCs/>
          <w:sz w:val="18"/>
          <w:szCs w:val="18"/>
          <w:lang w:val="en-US"/>
        </w:rPr>
        <w:t xml:space="preserve">COURSE AIMS AND INTENDED LEARNING OUTCOMES </w:t>
      </w:r>
    </w:p>
    <w:p w:rsidR="00871944" w:rsidRDefault="00AE1A1B">
      <w:pPr>
        <w:rPr>
          <w:lang w:val="en-US"/>
        </w:rPr>
      </w:pPr>
      <w:r>
        <w:rPr>
          <w:lang w:val="en-US"/>
        </w:rPr>
        <w:t>The aim of the course is to supply the theoretical elements needed for formalizing and solving financial and actuarial problems. The principal mathematical instruments having significant application in financial theory and business practice will thus be presented and discussed.</w:t>
      </w:r>
    </w:p>
    <w:p w:rsidR="00871944" w:rsidRPr="00621F64" w:rsidRDefault="00AE1A1B">
      <w:pPr>
        <w:rPr>
          <w:lang w:val="en-US"/>
        </w:rPr>
      </w:pPr>
      <w:r w:rsidRPr="00621F64">
        <w:rPr>
          <w:lang w:val="en-US"/>
        </w:rPr>
        <w:t>The following learning abilities are provided and expected to be achieved by participants at the end of the course:</w:t>
      </w:r>
    </w:p>
    <w:p w:rsidR="00871944" w:rsidRPr="00621F64" w:rsidRDefault="00AE1A1B" w:rsidP="00AE1A1B">
      <w:pPr>
        <w:ind w:left="284" w:hanging="284"/>
        <w:rPr>
          <w:lang w:val="en-US"/>
        </w:rPr>
      </w:pPr>
      <w:r>
        <w:rPr>
          <w:lang w:val="en-US"/>
        </w:rPr>
        <w:t>1.</w:t>
      </w:r>
      <w:r>
        <w:rPr>
          <w:lang w:val="en-US"/>
        </w:rPr>
        <w:tab/>
      </w:r>
      <w:r w:rsidRPr="00621F64">
        <w:rPr>
          <w:lang w:val="en-US"/>
        </w:rPr>
        <w:t xml:space="preserve">knowledge of concepts, terms and methods of financial mathematics, ability to correctly perform the calculations relating to financial flows and ability to understand the appropriate use </w:t>
      </w:r>
      <w:r>
        <w:rPr>
          <w:lang w:val="en-US"/>
        </w:rPr>
        <w:t>of the main financial variables;</w:t>
      </w:r>
    </w:p>
    <w:p w:rsidR="00871944" w:rsidRPr="00621F64" w:rsidRDefault="00AE1A1B" w:rsidP="00AE1A1B">
      <w:pPr>
        <w:ind w:left="284" w:hanging="284"/>
        <w:rPr>
          <w:lang w:val="en-US"/>
        </w:rPr>
      </w:pPr>
      <w:r>
        <w:rPr>
          <w:lang w:val="en-US"/>
        </w:rPr>
        <w:t>2.</w:t>
      </w:r>
      <w:r>
        <w:rPr>
          <w:lang w:val="en-US"/>
        </w:rPr>
        <w:tab/>
      </w:r>
      <w:r w:rsidRPr="00621F64">
        <w:rPr>
          <w:lang w:val="en-US"/>
        </w:rPr>
        <w:t>ability to correctly apply financial techniques and to solve autonomously mathematical financi</w:t>
      </w:r>
      <w:r>
        <w:rPr>
          <w:lang w:val="en-US"/>
        </w:rPr>
        <w:t>al problems that may appear new;</w:t>
      </w:r>
    </w:p>
    <w:p w:rsidR="00871944" w:rsidRPr="00621F64" w:rsidRDefault="00AE1A1B" w:rsidP="00AE1A1B">
      <w:pPr>
        <w:ind w:left="284" w:hanging="284"/>
        <w:rPr>
          <w:lang w:val="en-US"/>
        </w:rPr>
      </w:pPr>
      <w:r>
        <w:rPr>
          <w:lang w:val="en-US"/>
        </w:rPr>
        <w:t>3.</w:t>
      </w:r>
      <w:r>
        <w:rPr>
          <w:lang w:val="en-US"/>
        </w:rPr>
        <w:tab/>
      </w:r>
      <w:r w:rsidRPr="00621F64">
        <w:rPr>
          <w:lang w:val="en-US"/>
        </w:rPr>
        <w:t>ability to analyze financial problems including their critical evaluation and the correct in</w:t>
      </w:r>
      <w:r>
        <w:rPr>
          <w:lang w:val="en-US"/>
        </w:rPr>
        <w:t>terpretation of their solutions;</w:t>
      </w:r>
    </w:p>
    <w:p w:rsidR="00871944" w:rsidRPr="00621F64" w:rsidRDefault="00AE1A1B" w:rsidP="00AE1A1B">
      <w:pPr>
        <w:ind w:left="284" w:hanging="284"/>
        <w:rPr>
          <w:lang w:val="en-US"/>
        </w:rPr>
      </w:pPr>
      <w:r>
        <w:rPr>
          <w:lang w:val="en-US"/>
        </w:rPr>
        <w:t>4.</w:t>
      </w:r>
      <w:r>
        <w:rPr>
          <w:lang w:val="en-US"/>
        </w:rPr>
        <w:tab/>
      </w:r>
      <w:r w:rsidRPr="00621F64">
        <w:rPr>
          <w:lang w:val="en-US"/>
        </w:rPr>
        <w:t>ability to clearly communicate others their knowledge and their own consideratio</w:t>
      </w:r>
      <w:r>
        <w:rPr>
          <w:lang w:val="en-US"/>
        </w:rPr>
        <w:t>ns regarding financial problems;</w:t>
      </w:r>
    </w:p>
    <w:p w:rsidR="00871944" w:rsidRPr="00621F64" w:rsidRDefault="00AE1A1B" w:rsidP="00AE1A1B">
      <w:pPr>
        <w:ind w:left="284" w:hanging="284"/>
        <w:rPr>
          <w:lang w:val="en-US"/>
        </w:rPr>
      </w:pPr>
      <w:r>
        <w:rPr>
          <w:lang w:val="en-US"/>
        </w:rPr>
        <w:t>5.</w:t>
      </w:r>
      <w:r>
        <w:rPr>
          <w:lang w:val="en-US"/>
        </w:rPr>
        <w:tab/>
      </w:r>
      <w:r w:rsidRPr="00621F64">
        <w:rPr>
          <w:lang w:val="en-US"/>
        </w:rPr>
        <w:t xml:space="preserve">ability of the autonomous use of the financial techniques in several activities and works in this sector, as well as ability to make autonomous and critical </w:t>
      </w:r>
      <w:proofErr w:type="spellStart"/>
      <w:r w:rsidRPr="00621F64">
        <w:rPr>
          <w:lang w:val="en-US"/>
        </w:rPr>
        <w:t>judgements</w:t>
      </w:r>
      <w:proofErr w:type="spellEnd"/>
      <w:r w:rsidRPr="00621F64">
        <w:rPr>
          <w:lang w:val="en-US"/>
        </w:rPr>
        <w:t>.</w:t>
      </w:r>
    </w:p>
    <w:p w:rsidR="00871944" w:rsidRDefault="00AE1A1B">
      <w:pPr>
        <w:spacing w:before="240" w:after="120"/>
        <w:rPr>
          <w:b/>
          <w:bCs/>
          <w:i/>
          <w:iCs/>
          <w:sz w:val="18"/>
          <w:szCs w:val="18"/>
          <w:lang w:val="en-US"/>
        </w:rPr>
      </w:pPr>
      <w:r>
        <w:rPr>
          <w:b/>
          <w:bCs/>
          <w:i/>
          <w:iCs/>
          <w:sz w:val="18"/>
          <w:szCs w:val="18"/>
          <w:lang w:val="en-US"/>
        </w:rPr>
        <w:t>COURSE CONTENT</w:t>
      </w:r>
    </w:p>
    <w:p w:rsidR="00871944" w:rsidRDefault="00AE1A1B">
      <w:pPr>
        <w:rPr>
          <w:lang w:val="en-US"/>
        </w:rPr>
      </w:pPr>
      <w:r>
        <w:rPr>
          <w:lang w:val="en-US"/>
        </w:rPr>
        <w:t xml:space="preserve">Financial concepts of present and future values. Simple, discount and compound interest. Equivalent and convertible rates. The force of interest. Decomposability. Annuities: definition, classification and </w:t>
      </w:r>
      <w:r w:rsidR="0071789A">
        <w:rPr>
          <w:lang w:val="en-US"/>
        </w:rPr>
        <w:t>e</w:t>
      </w:r>
      <w:r>
        <w:rPr>
          <w:lang w:val="en-US"/>
        </w:rPr>
        <w:t>valuation. Sinking founds and amortization. Financial choices: common methods (Net Present Value, Internal Rate of Return, Recovery Time). Fundamentals of fixed-income securities. Spot rates. Forward rates. The term structure of interest rates.</w:t>
      </w:r>
    </w:p>
    <w:p w:rsidR="00871944" w:rsidRDefault="00AE1A1B">
      <w:pPr>
        <w:spacing w:before="240" w:after="120"/>
        <w:rPr>
          <w:b/>
          <w:bCs/>
          <w:i/>
          <w:iCs/>
          <w:sz w:val="18"/>
          <w:szCs w:val="18"/>
          <w:lang w:val="en-US"/>
        </w:rPr>
      </w:pPr>
      <w:r>
        <w:rPr>
          <w:b/>
          <w:bCs/>
          <w:i/>
          <w:iCs/>
          <w:sz w:val="18"/>
          <w:szCs w:val="18"/>
          <w:lang w:val="en-US"/>
        </w:rPr>
        <w:t>READING LIST</w:t>
      </w:r>
      <w:r w:rsidR="009567A7">
        <w:rPr>
          <w:rStyle w:val="Rimandonotaapidipagina"/>
          <w:b/>
          <w:bCs/>
          <w:i/>
          <w:iCs/>
          <w:sz w:val="18"/>
          <w:szCs w:val="18"/>
          <w:lang w:val="en-US"/>
        </w:rPr>
        <w:footnoteReference w:id="1"/>
      </w:r>
    </w:p>
    <w:p w:rsidR="00871944" w:rsidRDefault="00AE1A1B">
      <w:pPr>
        <w:pStyle w:val="Testo2"/>
        <w:spacing w:line="240" w:lineRule="atLeast"/>
        <w:ind w:left="284" w:hanging="284"/>
      </w:pPr>
      <w:r w:rsidRPr="009567A7">
        <w:rPr>
          <w:smallCaps/>
          <w:sz w:val="16"/>
          <w:szCs w:val="16"/>
          <w:lang w:val="it-IT"/>
        </w:rPr>
        <w:t>Castagnoli-Cigola-Peccati</w:t>
      </w:r>
      <w:r w:rsidRPr="009567A7">
        <w:rPr>
          <w:smallCaps/>
          <w:spacing w:val="-5"/>
          <w:sz w:val="16"/>
          <w:szCs w:val="16"/>
          <w:lang w:val="it-IT"/>
        </w:rPr>
        <w:t>,</w:t>
      </w:r>
      <w:r w:rsidRPr="009567A7">
        <w:rPr>
          <w:i/>
          <w:iCs/>
          <w:lang w:val="it-IT"/>
        </w:rPr>
        <w:t xml:space="preserve"> Financial </w:t>
      </w:r>
      <w:proofErr w:type="spellStart"/>
      <w:r w:rsidRPr="009567A7">
        <w:rPr>
          <w:i/>
          <w:iCs/>
          <w:lang w:val="it-IT"/>
        </w:rPr>
        <w:t>Calculus</w:t>
      </w:r>
      <w:proofErr w:type="spellEnd"/>
      <w:r w:rsidRPr="009567A7">
        <w:rPr>
          <w:i/>
          <w:iCs/>
          <w:lang w:val="it-IT"/>
        </w:rPr>
        <w:t xml:space="preserve"> with </w:t>
      </w:r>
      <w:proofErr w:type="spellStart"/>
      <w:r w:rsidRPr="009567A7">
        <w:rPr>
          <w:i/>
          <w:iCs/>
          <w:lang w:val="it-IT"/>
        </w:rPr>
        <w:t>applications</w:t>
      </w:r>
      <w:proofErr w:type="spellEnd"/>
      <w:r w:rsidRPr="009567A7">
        <w:rPr>
          <w:i/>
          <w:iCs/>
          <w:lang w:val="it-IT"/>
        </w:rPr>
        <w:t>,</w:t>
      </w:r>
      <w:r w:rsidRPr="009567A7">
        <w:rPr>
          <w:lang w:val="it-IT"/>
        </w:rPr>
        <w:t xml:space="preserve"> Egea 2013.</w:t>
      </w:r>
      <w:r w:rsidR="009567A7" w:rsidRPr="009567A7">
        <w:rPr>
          <w:lang w:val="it-IT"/>
        </w:rPr>
        <w:t xml:space="preserve"> </w:t>
      </w:r>
      <w:hyperlink r:id="rId8" w:history="1">
        <w:proofErr w:type="spellStart"/>
        <w:r w:rsidR="009567A7" w:rsidRPr="009567A7">
          <w:rPr>
            <w:rStyle w:val="Collegamentoipertestuale"/>
            <w:rFonts w:ascii="Times New Roman" w:hAnsi="Times New Roman" w:cs="Times New Roman"/>
            <w:i/>
            <w:sz w:val="16"/>
            <w:szCs w:val="16"/>
          </w:rPr>
          <w:t>Acquista</w:t>
        </w:r>
        <w:proofErr w:type="spellEnd"/>
        <w:r w:rsidR="009567A7" w:rsidRPr="009567A7">
          <w:rPr>
            <w:rStyle w:val="Collegamentoipertestuale"/>
            <w:rFonts w:ascii="Times New Roman" w:hAnsi="Times New Roman" w:cs="Times New Roman"/>
            <w:i/>
            <w:sz w:val="16"/>
            <w:szCs w:val="16"/>
          </w:rPr>
          <w:t xml:space="preserve"> da VP</w:t>
        </w:r>
      </w:hyperlink>
      <w:bookmarkStart w:id="0" w:name="_GoBack"/>
      <w:bookmarkEnd w:id="0"/>
    </w:p>
    <w:p w:rsidR="00871944" w:rsidRDefault="00AE1A1B">
      <w:pPr>
        <w:pStyle w:val="Testo2"/>
      </w:pPr>
      <w:r>
        <w:lastRenderedPageBreak/>
        <w:t>Notes, exercise sets and additional materials are available on the e-learning platform Blackboard.</w:t>
      </w:r>
    </w:p>
    <w:p w:rsidR="00871944" w:rsidRDefault="00AE1A1B">
      <w:pPr>
        <w:spacing w:before="240" w:after="120" w:line="220" w:lineRule="exact"/>
        <w:rPr>
          <w:b/>
          <w:bCs/>
          <w:i/>
          <w:iCs/>
          <w:sz w:val="18"/>
          <w:szCs w:val="18"/>
          <w:lang w:val="en-US"/>
        </w:rPr>
      </w:pPr>
      <w:r>
        <w:rPr>
          <w:b/>
          <w:bCs/>
          <w:i/>
          <w:iCs/>
          <w:sz w:val="18"/>
          <w:szCs w:val="18"/>
          <w:lang w:val="en-US"/>
        </w:rPr>
        <w:t>TEACHING METHOD</w:t>
      </w:r>
    </w:p>
    <w:p w:rsidR="00871944" w:rsidRDefault="00AE1A1B">
      <w:pPr>
        <w:pStyle w:val="Testo2"/>
      </w:pPr>
      <w:r>
        <w:t>Lectures, tutoring hours.</w:t>
      </w:r>
    </w:p>
    <w:p w:rsidR="00871944" w:rsidRDefault="00AE1A1B">
      <w:pPr>
        <w:spacing w:before="240" w:after="120" w:line="220" w:lineRule="exact"/>
        <w:rPr>
          <w:b/>
          <w:bCs/>
          <w:i/>
          <w:iCs/>
          <w:sz w:val="18"/>
          <w:szCs w:val="18"/>
          <w:lang w:val="en-US"/>
        </w:rPr>
      </w:pPr>
      <w:r>
        <w:rPr>
          <w:b/>
          <w:bCs/>
          <w:i/>
          <w:iCs/>
          <w:sz w:val="18"/>
          <w:szCs w:val="18"/>
          <w:lang w:val="en-US"/>
        </w:rPr>
        <w:t>ASSESSMENT METHOD AND CRITERIA</w:t>
      </w:r>
    </w:p>
    <w:p w:rsidR="00DF1015" w:rsidRPr="004C6F36" w:rsidRDefault="00DF1015" w:rsidP="00DF1015">
      <w:pPr>
        <w:rPr>
          <w:noProof/>
          <w:sz w:val="18"/>
          <w:lang w:val="en-US"/>
        </w:rPr>
      </w:pPr>
      <w:r w:rsidRPr="004C6F36">
        <w:rPr>
          <w:noProof/>
          <w:sz w:val="18"/>
          <w:lang w:val="en-US"/>
        </w:rPr>
        <w:t>The final exam is composed of open questions, including theory and practical applications, possibly in subitems. Each question/subitem is assigned a score (clearly indicated in the text of the exam), maximum in case of correct answer. The maximum total score is 32/30. The scor</w:t>
      </w:r>
      <w:r>
        <w:rPr>
          <w:noProof/>
          <w:sz w:val="18"/>
          <w:lang w:val="en-US"/>
        </w:rPr>
        <w:t xml:space="preserve">es 31 and 32 correspond to the </w:t>
      </w:r>
      <w:r w:rsidRPr="004C6F36">
        <w:rPr>
          <w:noProof/>
          <w:sz w:val="18"/>
          <w:lang w:val="en-US"/>
        </w:rPr>
        <w:t xml:space="preserve">honors. The score attributed to each subitem depend on the complexity of the question. </w:t>
      </w:r>
    </w:p>
    <w:p w:rsidR="00DF1015" w:rsidRPr="004C6F36" w:rsidRDefault="00DF1015" w:rsidP="00DF1015">
      <w:pPr>
        <w:rPr>
          <w:noProof/>
          <w:sz w:val="18"/>
          <w:lang w:val="en-US"/>
        </w:rPr>
      </w:pPr>
      <w:r w:rsidRPr="004C6F36">
        <w:rPr>
          <w:noProof/>
          <w:sz w:val="18"/>
          <w:lang w:val="en-US"/>
        </w:rPr>
        <w:t>In particular, an open question allows to check not only the correct answer but also to evaluate how the final answer is reached and the related</w:t>
      </w:r>
      <w:r>
        <w:rPr>
          <w:noProof/>
          <w:sz w:val="18"/>
          <w:lang w:val="en-US"/>
        </w:rPr>
        <w:t xml:space="preserve"> comments added by the student.</w:t>
      </w:r>
    </w:p>
    <w:p w:rsidR="00DF1015" w:rsidRPr="004C6F36" w:rsidRDefault="00DF1015" w:rsidP="00DF1015">
      <w:pPr>
        <w:rPr>
          <w:noProof/>
          <w:sz w:val="18"/>
          <w:lang w:val="en-US"/>
        </w:rPr>
      </w:pPr>
      <w:r w:rsidRPr="004C6F36">
        <w:rPr>
          <w:noProof/>
          <w:sz w:val="18"/>
          <w:lang w:val="en-US"/>
        </w:rPr>
        <w:t>The theoretical questions are conceived to test knowledge and, the harder ones, to test the competence in model development and critical thinking, the impact of underlying hypotheses, the comparison among alternative models.</w:t>
      </w:r>
    </w:p>
    <w:p w:rsidR="003B45CA" w:rsidRDefault="00DF1015" w:rsidP="00DF1015">
      <w:pPr>
        <w:pStyle w:val="Testo2"/>
      </w:pPr>
      <w:r w:rsidRPr="004C6F36">
        <w:t>The practical applications, from the simpler to the harder, check the capacity to apply the basic princ</w:t>
      </w:r>
      <w:r>
        <w:t>iples. Harder exercises require</w:t>
      </w:r>
      <w:r w:rsidRPr="004C6F36">
        <w:t xml:space="preserve"> an analysis of the best model to choose</w:t>
      </w:r>
      <w:r>
        <w:t>.</w:t>
      </w:r>
    </w:p>
    <w:p w:rsidR="00871944" w:rsidRDefault="00AE1A1B">
      <w:pPr>
        <w:pStyle w:val="Testo2"/>
      </w:pPr>
      <w:r>
        <w:t>The exam can also be taken through two partial tests: first partial test during the class period and second partial test at the end. The two partial exams have the same weight in the final evaluation.</w:t>
      </w:r>
    </w:p>
    <w:p w:rsidR="00AE1A1B" w:rsidRDefault="00AE1A1B" w:rsidP="00AE1A1B">
      <w:pPr>
        <w:pStyle w:val="Testo2"/>
      </w:pPr>
      <w:r>
        <w:t>For more details, please refer to the information available on Blackboard.</w:t>
      </w:r>
    </w:p>
    <w:p w:rsidR="00DF1015" w:rsidRDefault="00DF1015">
      <w:pPr>
        <w:pStyle w:val="Testo2"/>
      </w:pPr>
    </w:p>
    <w:p w:rsidR="00871944" w:rsidRDefault="00AE1A1B">
      <w:pPr>
        <w:pStyle w:val="Testo2"/>
      </w:pPr>
      <w:r w:rsidRPr="00621F64">
        <w:t xml:space="preserve">In case the health situation connected with the pandemic of </w:t>
      </w:r>
      <w:r>
        <w:t xml:space="preserve">Covid-19 </w:t>
      </w:r>
      <w:r w:rsidRPr="00621F64">
        <w:t xml:space="preserve">will not allow lessons in presence, they will be guaranteed with a </w:t>
      </w:r>
      <w:r>
        <w:t xml:space="preserve">distance learning </w:t>
      </w:r>
      <w:r w:rsidRPr="00621F64">
        <w:t>method. The tools used will be communicated to the students in time</w:t>
      </w:r>
      <w:r>
        <w:t>.</w:t>
      </w:r>
    </w:p>
    <w:sectPr w:rsidR="00871944">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FF3" w:rsidRDefault="00AC4FF3">
      <w:pPr>
        <w:spacing w:line="240" w:lineRule="auto"/>
      </w:pPr>
      <w:r>
        <w:separator/>
      </w:r>
    </w:p>
  </w:endnote>
  <w:endnote w:type="continuationSeparator" w:id="0">
    <w:p w:rsidR="00AC4FF3" w:rsidRDefault="00AC4F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Helvetica Neue">
    <w:altName w:val="Sylfae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FF3" w:rsidRDefault="00AC4FF3">
      <w:pPr>
        <w:spacing w:line="240" w:lineRule="auto"/>
      </w:pPr>
      <w:r>
        <w:separator/>
      </w:r>
    </w:p>
  </w:footnote>
  <w:footnote w:type="continuationSeparator" w:id="0">
    <w:p w:rsidR="00AC4FF3" w:rsidRDefault="00AC4FF3">
      <w:pPr>
        <w:spacing w:line="240" w:lineRule="auto"/>
      </w:pPr>
      <w:r>
        <w:continuationSeparator/>
      </w:r>
    </w:p>
  </w:footnote>
  <w:footnote w:id="1">
    <w:p w:rsidR="009567A7" w:rsidRDefault="009567A7">
      <w:pPr>
        <w:pStyle w:val="Testonotaapidipagina"/>
      </w:pPr>
      <w:r>
        <w:rPr>
          <w:rStyle w:val="Rimandonotaapidipagina"/>
        </w:rPr>
        <w:footnoteRef/>
      </w:r>
      <w:r>
        <w:t xml:space="preserve"> </w:t>
      </w:r>
      <w:r w:rsidRPr="001D7759">
        <w:rPr>
          <w:rFonts w:cs="Times New Roman"/>
          <w:sz w:val="16"/>
          <w:szCs w:val="16"/>
        </w:rPr>
        <w:t xml:space="preserve">I testi indicati nella bibliografia sono acquistabili presso le librerie di Ateneo; è possibile acquistarli </w:t>
      </w:r>
      <w:r>
        <w:rPr>
          <w:rFonts w:cs="Times New Roman"/>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944"/>
    <w:rsid w:val="003B45CA"/>
    <w:rsid w:val="00621F64"/>
    <w:rsid w:val="0071789A"/>
    <w:rsid w:val="00871944"/>
    <w:rsid w:val="009567A7"/>
    <w:rsid w:val="00AC4FF3"/>
    <w:rsid w:val="00AE1A1B"/>
    <w:rsid w:val="00B94551"/>
    <w:rsid w:val="00B94776"/>
    <w:rsid w:val="00BB03E7"/>
    <w:rsid w:val="00BE57BB"/>
    <w:rsid w:val="00D73199"/>
    <w:rsid w:val="00DF10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tabs>
        <w:tab w:val="left" w:pos="284"/>
      </w:tabs>
      <w:spacing w:line="240" w:lineRule="exact"/>
      <w:jc w:val="both"/>
    </w:pPr>
    <w:rPr>
      <w:rFonts w:cs="Arial Unicode MS"/>
      <w:color w:val="000000"/>
      <w:u w:color="000000"/>
    </w:rPr>
  </w:style>
  <w:style w:type="paragraph" w:styleId="Titolo1">
    <w:name w:val="heading 1"/>
    <w:next w:val="Titolo2"/>
    <w:pPr>
      <w:tabs>
        <w:tab w:val="left" w:pos="284"/>
      </w:tabs>
      <w:spacing w:before="480" w:line="240" w:lineRule="exact"/>
      <w:ind w:left="284" w:hanging="284"/>
      <w:jc w:val="both"/>
      <w:outlineLvl w:val="0"/>
    </w:pPr>
    <w:rPr>
      <w:rFonts w:ascii="Times" w:hAnsi="Times" w:cs="Arial Unicode MS"/>
      <w:b/>
      <w:bCs/>
      <w:color w:val="000000"/>
      <w:u w:color="000000"/>
      <w:lang w:val="en-US"/>
    </w:rPr>
  </w:style>
  <w:style w:type="paragraph" w:styleId="Titolo2">
    <w:name w:val="heading 2"/>
    <w:next w:val="Titolo3"/>
    <w:pPr>
      <w:tabs>
        <w:tab w:val="left" w:pos="284"/>
      </w:tabs>
      <w:spacing w:line="240" w:lineRule="exact"/>
      <w:jc w:val="both"/>
      <w:outlineLvl w:val="1"/>
    </w:pPr>
    <w:rPr>
      <w:rFonts w:ascii="Times" w:hAnsi="Times" w:cs="Arial Unicode MS"/>
      <w:smallCaps/>
      <w:color w:val="000000"/>
      <w:sz w:val="18"/>
      <w:szCs w:val="18"/>
      <w:u w:color="000000"/>
      <w:lang w:val="en-US"/>
    </w:rPr>
  </w:style>
  <w:style w:type="paragraph" w:styleId="Titolo3">
    <w:name w:val="heading 3"/>
    <w:next w:val="Normale"/>
    <w:pPr>
      <w:tabs>
        <w:tab w:val="left" w:pos="284"/>
      </w:tabs>
      <w:spacing w:before="240" w:after="120" w:line="240" w:lineRule="exact"/>
      <w:ind w:left="284" w:hanging="284"/>
      <w:jc w:val="both"/>
      <w:outlineLvl w:val="2"/>
    </w:pPr>
    <w:rPr>
      <w:rFonts w:ascii="Times" w:hAnsi="Times" w:cs="Arial Unicode MS"/>
      <w:i/>
      <w:iCs/>
      <w:caps/>
      <w:color w:val="000000"/>
      <w:sz w:val="18"/>
      <w:szCs w:val="18"/>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pagina">
    <w:name w:val="Intestazione e piè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sto2">
    <w:name w:val="Testo 2"/>
    <w:pPr>
      <w:tabs>
        <w:tab w:val="left" w:pos="284"/>
      </w:tabs>
      <w:spacing w:line="220" w:lineRule="exact"/>
      <w:ind w:firstLine="284"/>
      <w:jc w:val="both"/>
    </w:pPr>
    <w:rPr>
      <w:rFonts w:ascii="Times" w:hAnsi="Times" w:cs="Arial Unicode MS"/>
      <w:color w:val="000000"/>
      <w:sz w:val="18"/>
      <w:szCs w:val="18"/>
      <w:u w:color="000000"/>
      <w:lang w:val="en-US"/>
    </w:rPr>
  </w:style>
  <w:style w:type="paragraph" w:styleId="Paragrafoelenco">
    <w:name w:val="List Paragraph"/>
    <w:basedOn w:val="Normale"/>
    <w:uiPriority w:val="34"/>
    <w:qFormat/>
    <w:rsid w:val="00DF1015"/>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imes" w:eastAsia="Times New Roman" w:hAnsi="Times" w:cs="Times New Roman"/>
      <w:color w:val="auto"/>
      <w:bdr w:val="none" w:sz="0" w:space="0" w:color="auto"/>
    </w:rPr>
  </w:style>
  <w:style w:type="paragraph" w:styleId="Testonotaapidipagina">
    <w:name w:val="footnote text"/>
    <w:basedOn w:val="Normale"/>
    <w:link w:val="TestonotaapidipaginaCarattere"/>
    <w:uiPriority w:val="99"/>
    <w:semiHidden/>
    <w:unhideWhenUsed/>
    <w:rsid w:val="009567A7"/>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9567A7"/>
    <w:rPr>
      <w:rFonts w:cs="Arial Unicode MS"/>
      <w:color w:val="000000"/>
      <w:u w:color="000000"/>
    </w:rPr>
  </w:style>
  <w:style w:type="character" w:styleId="Rimandonotaapidipagina">
    <w:name w:val="footnote reference"/>
    <w:basedOn w:val="Carpredefinitoparagrafo"/>
    <w:uiPriority w:val="99"/>
    <w:semiHidden/>
    <w:unhideWhenUsed/>
    <w:rsid w:val="009567A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tabs>
        <w:tab w:val="left" w:pos="284"/>
      </w:tabs>
      <w:spacing w:line="240" w:lineRule="exact"/>
      <w:jc w:val="both"/>
    </w:pPr>
    <w:rPr>
      <w:rFonts w:cs="Arial Unicode MS"/>
      <w:color w:val="000000"/>
      <w:u w:color="000000"/>
    </w:rPr>
  </w:style>
  <w:style w:type="paragraph" w:styleId="Titolo1">
    <w:name w:val="heading 1"/>
    <w:next w:val="Titolo2"/>
    <w:pPr>
      <w:tabs>
        <w:tab w:val="left" w:pos="284"/>
      </w:tabs>
      <w:spacing w:before="480" w:line="240" w:lineRule="exact"/>
      <w:ind w:left="284" w:hanging="284"/>
      <w:jc w:val="both"/>
      <w:outlineLvl w:val="0"/>
    </w:pPr>
    <w:rPr>
      <w:rFonts w:ascii="Times" w:hAnsi="Times" w:cs="Arial Unicode MS"/>
      <w:b/>
      <w:bCs/>
      <w:color w:val="000000"/>
      <w:u w:color="000000"/>
      <w:lang w:val="en-US"/>
    </w:rPr>
  </w:style>
  <w:style w:type="paragraph" w:styleId="Titolo2">
    <w:name w:val="heading 2"/>
    <w:next w:val="Titolo3"/>
    <w:pPr>
      <w:tabs>
        <w:tab w:val="left" w:pos="284"/>
      </w:tabs>
      <w:spacing w:line="240" w:lineRule="exact"/>
      <w:jc w:val="both"/>
      <w:outlineLvl w:val="1"/>
    </w:pPr>
    <w:rPr>
      <w:rFonts w:ascii="Times" w:hAnsi="Times" w:cs="Arial Unicode MS"/>
      <w:smallCaps/>
      <w:color w:val="000000"/>
      <w:sz w:val="18"/>
      <w:szCs w:val="18"/>
      <w:u w:color="000000"/>
      <w:lang w:val="en-US"/>
    </w:rPr>
  </w:style>
  <w:style w:type="paragraph" w:styleId="Titolo3">
    <w:name w:val="heading 3"/>
    <w:next w:val="Normale"/>
    <w:pPr>
      <w:tabs>
        <w:tab w:val="left" w:pos="284"/>
      </w:tabs>
      <w:spacing w:before="240" w:after="120" w:line="240" w:lineRule="exact"/>
      <w:ind w:left="284" w:hanging="284"/>
      <w:jc w:val="both"/>
      <w:outlineLvl w:val="2"/>
    </w:pPr>
    <w:rPr>
      <w:rFonts w:ascii="Times" w:hAnsi="Times" w:cs="Arial Unicode MS"/>
      <w:i/>
      <w:iCs/>
      <w:caps/>
      <w:color w:val="000000"/>
      <w:sz w:val="18"/>
      <w:szCs w:val="18"/>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pagina">
    <w:name w:val="Intestazione e piè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sto2">
    <w:name w:val="Testo 2"/>
    <w:pPr>
      <w:tabs>
        <w:tab w:val="left" w:pos="284"/>
      </w:tabs>
      <w:spacing w:line="220" w:lineRule="exact"/>
      <w:ind w:firstLine="284"/>
      <w:jc w:val="both"/>
    </w:pPr>
    <w:rPr>
      <w:rFonts w:ascii="Times" w:hAnsi="Times" w:cs="Arial Unicode MS"/>
      <w:color w:val="000000"/>
      <w:sz w:val="18"/>
      <w:szCs w:val="18"/>
      <w:u w:color="000000"/>
      <w:lang w:val="en-US"/>
    </w:rPr>
  </w:style>
  <w:style w:type="paragraph" w:styleId="Paragrafoelenco">
    <w:name w:val="List Paragraph"/>
    <w:basedOn w:val="Normale"/>
    <w:uiPriority w:val="34"/>
    <w:qFormat/>
    <w:rsid w:val="00DF1015"/>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imes" w:eastAsia="Times New Roman" w:hAnsi="Times" w:cs="Times New Roman"/>
      <w:color w:val="auto"/>
      <w:bdr w:val="none" w:sz="0" w:space="0" w:color="auto"/>
    </w:rPr>
  </w:style>
  <w:style w:type="paragraph" w:styleId="Testonotaapidipagina">
    <w:name w:val="footnote text"/>
    <w:basedOn w:val="Normale"/>
    <w:link w:val="TestonotaapidipaginaCarattere"/>
    <w:uiPriority w:val="99"/>
    <w:semiHidden/>
    <w:unhideWhenUsed/>
    <w:rsid w:val="009567A7"/>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9567A7"/>
    <w:rPr>
      <w:rFonts w:cs="Arial Unicode MS"/>
      <w:color w:val="000000"/>
      <w:u w:color="000000"/>
    </w:rPr>
  </w:style>
  <w:style w:type="character" w:styleId="Rimandonotaapidipagina">
    <w:name w:val="footnote reference"/>
    <w:basedOn w:val="Carpredefinitoparagrafo"/>
    <w:uiPriority w:val="99"/>
    <w:semiHidden/>
    <w:unhideWhenUsed/>
    <w:rsid w:val="009567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castagnoli-erio-cigola-margherita-peccati-lorenzo/financial-calculus-9788823821743-215638.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7A217-5579-4B51-8706-B8A5A9230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3119</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Rolli Andrea</cp:lastModifiedBy>
  <cp:revision>3</cp:revision>
  <dcterms:created xsi:type="dcterms:W3CDTF">2021-05-14T10:45:00Z</dcterms:created>
  <dcterms:modified xsi:type="dcterms:W3CDTF">2021-06-29T12:15:00Z</dcterms:modified>
</cp:coreProperties>
</file>