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91E9" w14:textId="77777777" w:rsidR="0083412C" w:rsidRDefault="0083412C" w:rsidP="0083412C">
      <w:pPr>
        <w:pStyle w:val="Titolo1"/>
        <w:ind w:left="0" w:firstLine="0"/>
      </w:pPr>
      <w:r>
        <w:t xml:space="preserve">Economia </w:t>
      </w:r>
      <w:r w:rsidR="0035222C">
        <w:t>internazionale</w:t>
      </w:r>
    </w:p>
    <w:p w14:paraId="35B65A2F" w14:textId="77777777" w:rsidR="0083412C" w:rsidRDefault="0083412C" w:rsidP="0083412C">
      <w:pPr>
        <w:pStyle w:val="Titolo2"/>
      </w:pPr>
      <w:r w:rsidRPr="00F223DF">
        <w:t xml:space="preserve">Prof. </w:t>
      </w:r>
      <w:r>
        <w:t>Marco Lossani</w:t>
      </w:r>
      <w:r w:rsidR="00432E94">
        <w:t>;</w:t>
      </w:r>
      <w:r w:rsidR="008D2E18">
        <w:t xml:space="preserve"> Prof. Daniela Maggioni</w:t>
      </w:r>
    </w:p>
    <w:p w14:paraId="2FAE7BF1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D58F3C" w14:textId="77777777" w:rsidR="0083412C" w:rsidRDefault="0083412C" w:rsidP="0035222C">
      <w:pPr>
        <w:spacing w:line="240" w:lineRule="exact"/>
      </w:pPr>
      <w:r w:rsidRPr="00514514">
        <w:t xml:space="preserve">L'obiettivo </w:t>
      </w:r>
      <w:r>
        <w:t xml:space="preserve">del corso </w:t>
      </w:r>
      <w:r w:rsidRPr="00514514">
        <w:t xml:space="preserve">è quello di </w:t>
      </w:r>
      <w:r>
        <w:t xml:space="preserve">fornire il </w:t>
      </w:r>
      <w:r w:rsidRPr="00AA518A">
        <w:t>quadro concettuale di riferimento per la comprensione – a livello introduttivo – delle principali tematiche legate al processo di globalizzazione. Nella prima parte viene sviluppata la conoscenza di base delle principali determinanti e implicazioni degli scambi commerciali internazionali. Nella seconda parte sono esaminati gli strumenti e i modelli per l’analisi dei problemi dell’economia monetaria internazionale. Nella terza parte sono considerate le cause e le conseguenze del processo di globalizzazione reale e finanziaria.</w:t>
      </w:r>
      <w:r>
        <w:t xml:space="preserve"> </w:t>
      </w:r>
      <w:r w:rsidRPr="00514514">
        <w:t>Le lezioni di natura teorica saranno affiancate da</w:t>
      </w:r>
      <w:r>
        <w:t xml:space="preserve"> riferimenti a casi concreti tratti dal più recente andamento dell’economia internazionale.</w:t>
      </w:r>
    </w:p>
    <w:p w14:paraId="42E4E3F6" w14:textId="367E7176" w:rsidR="0083412C" w:rsidRDefault="0083412C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620A352C" w14:textId="2BD39D80" w:rsidR="0083412C" w:rsidRDefault="00EC31ED" w:rsidP="0035222C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commercio internazionale utilizzabili per interpretare l’evoluzione nel medio-lungo periodo degli scambi commerciali internazionali</w:t>
      </w:r>
      <w:r w:rsidR="0083412C" w:rsidRPr="00F668AE">
        <w:rPr>
          <w:sz w:val="20"/>
          <w:szCs w:val="20"/>
        </w:rPr>
        <w:t xml:space="preserve">. </w:t>
      </w:r>
    </w:p>
    <w:p w14:paraId="3CA6CCE6" w14:textId="704E04F9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economia monetaria internazionale utilizzabili per interpretare l’evoluzione nel breve-medio periodo del reddito prodotto da un’economia aperta alle relazioni internazionali</w:t>
      </w:r>
      <w:r w:rsidR="0083412C" w:rsidRPr="00F668AE">
        <w:rPr>
          <w:sz w:val="20"/>
          <w:szCs w:val="20"/>
        </w:rPr>
        <w:t xml:space="preserve">. </w:t>
      </w:r>
    </w:p>
    <w:p w14:paraId="660F6D51" w14:textId="7C21BD9D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 xml:space="preserve">i alcune semplici relazioni che legano i tassi di cambio ad alcune </w:t>
      </w:r>
      <w:r w:rsidR="0083412C" w:rsidRPr="001265E2">
        <w:rPr>
          <w:sz w:val="20"/>
          <w:szCs w:val="20"/>
        </w:rPr>
        <w:t xml:space="preserve">grandezze fondamentali quali </w:t>
      </w:r>
      <w:r w:rsidR="0083412C">
        <w:rPr>
          <w:sz w:val="20"/>
          <w:szCs w:val="20"/>
        </w:rPr>
        <w:t xml:space="preserve">livello dei </w:t>
      </w:r>
      <w:r w:rsidR="0083412C" w:rsidRPr="001265E2">
        <w:rPr>
          <w:sz w:val="20"/>
          <w:szCs w:val="20"/>
        </w:rPr>
        <w:t>prezzi</w:t>
      </w:r>
      <w:r w:rsidR="0083412C">
        <w:rPr>
          <w:sz w:val="20"/>
          <w:szCs w:val="20"/>
        </w:rPr>
        <w:t xml:space="preserve"> e dei tassi di interesse.</w:t>
      </w:r>
    </w:p>
    <w:p w14:paraId="78E1AD7D" w14:textId="43C7B8CA" w:rsidR="002F69E1" w:rsidRPr="002F69E1" w:rsidRDefault="00EC31ED" w:rsidP="006412A8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</w:pPr>
      <w:r>
        <w:t xml:space="preserve">saranno in grado </w:t>
      </w:r>
      <w:r w:rsidR="002F69E1">
        <w:t>applicare le</w:t>
      </w:r>
      <w:r w:rsidR="0083412C" w:rsidRPr="00F668AE">
        <w:t xml:space="preserve"> conoscenz</w:t>
      </w:r>
      <w:r w:rsidR="002F69E1">
        <w:t xml:space="preserve">e e competenze acquisite nell’analisi dei </w:t>
      </w:r>
      <w:r w:rsidR="005C4563">
        <w:t>p</w:t>
      </w:r>
      <w:r w:rsidR="002F69E1">
        <w:t>rincipali temi legati alla globalizzazione reale e finanziaria;</w:t>
      </w:r>
    </w:p>
    <w:p w14:paraId="04C9984A" w14:textId="6008F19A" w:rsidR="007C54AC" w:rsidRPr="007C54AC" w:rsidRDefault="00EC31ED" w:rsidP="006412A8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C278A2">
        <w:rPr>
          <w:sz w:val="20"/>
          <w:szCs w:val="20"/>
        </w:rPr>
        <w:t xml:space="preserve"> </w:t>
      </w:r>
      <w:r w:rsidR="0083412C" w:rsidRPr="00C278A2">
        <w:rPr>
          <w:sz w:val="20"/>
          <w:szCs w:val="20"/>
        </w:rPr>
        <w:t xml:space="preserve">acquisito </w:t>
      </w:r>
      <w:r w:rsidR="0083412C">
        <w:rPr>
          <w:sz w:val="20"/>
          <w:szCs w:val="20"/>
        </w:rPr>
        <w:t xml:space="preserve">familiarità con </w:t>
      </w:r>
      <w:r w:rsidR="0083412C" w:rsidRPr="00C278A2">
        <w:rPr>
          <w:sz w:val="20"/>
          <w:szCs w:val="20"/>
        </w:rPr>
        <w:t xml:space="preserve">un linguaggio </w:t>
      </w:r>
      <w:r w:rsidR="0083412C">
        <w:rPr>
          <w:sz w:val="20"/>
          <w:szCs w:val="20"/>
        </w:rPr>
        <w:t xml:space="preserve">tecnico e con alcuni modelli teorici </w:t>
      </w:r>
      <w:r w:rsidR="0083412C" w:rsidRPr="00C278A2">
        <w:rPr>
          <w:sz w:val="20"/>
          <w:szCs w:val="20"/>
        </w:rPr>
        <w:t>che consenta</w:t>
      </w:r>
      <w:r w:rsidR="0083412C">
        <w:rPr>
          <w:sz w:val="20"/>
          <w:szCs w:val="20"/>
        </w:rPr>
        <w:t>no</w:t>
      </w:r>
      <w:r w:rsidR="0083412C" w:rsidRPr="00C278A2">
        <w:rPr>
          <w:sz w:val="20"/>
          <w:szCs w:val="20"/>
        </w:rPr>
        <w:t xml:space="preserve"> loro di comunicare con chiarezza ed efficacia le conoscenze acquisite. </w:t>
      </w:r>
    </w:p>
    <w:p w14:paraId="44E3F65F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6F69C8" w14:textId="77777777" w:rsidR="0083412C" w:rsidRPr="0013246C" w:rsidRDefault="0083412C" w:rsidP="0035222C">
      <w:pPr>
        <w:spacing w:line="240" w:lineRule="exact"/>
      </w:pPr>
      <w:r w:rsidRPr="0013246C">
        <w:t xml:space="preserve">Il corso è articolato in </w:t>
      </w:r>
      <w:r>
        <w:t>tr</w:t>
      </w:r>
      <w:r w:rsidRPr="0013246C">
        <w:t>e parti:</w:t>
      </w:r>
    </w:p>
    <w:p w14:paraId="653A249A" w14:textId="6B11B755" w:rsidR="0083412C" w:rsidRDefault="0083412C" w:rsidP="0083412C">
      <w:pPr>
        <w:spacing w:line="240" w:lineRule="exact"/>
      </w:pPr>
      <w:r w:rsidRPr="00AA518A">
        <w:rPr>
          <w:i/>
        </w:rPr>
        <w:t>Teoria Pura del Commercio Internazionale</w:t>
      </w:r>
      <w:r>
        <w:rPr>
          <w:i/>
        </w:rPr>
        <w:t>.</w:t>
      </w:r>
      <w:r w:rsidRPr="00D1424F">
        <w:t xml:space="preserve"> </w:t>
      </w:r>
      <w:r w:rsidR="0098566E">
        <w:t xml:space="preserve">Fatti stilizzati sulla globalizzazione. </w:t>
      </w:r>
      <w:r w:rsidRPr="00D1424F">
        <w:t xml:space="preserve">Modello ricardiano: </w:t>
      </w:r>
      <w:r>
        <w:t xml:space="preserve">produttività del lavoro e vantaggi comparati. Modello HOS: dotazioni fattoriali e vantaggi comparati. Modello di </w:t>
      </w:r>
      <w:proofErr w:type="spellStart"/>
      <w:r>
        <w:t>Krugman-Melitz</w:t>
      </w:r>
      <w:proofErr w:type="spellEnd"/>
      <w:r>
        <w:t xml:space="preserve">: economie di scala e commercio internazionale. Il ruolo delle esternalità sui flussi di commercio internazionale. Imprese multi-nazionali e Investimenti Diretti Esteri. Gli strumenti </w:t>
      </w:r>
      <w:r>
        <w:lastRenderedPageBreak/>
        <w:t>della politica commerciale. I costi</w:t>
      </w:r>
      <w:r w:rsidR="00166B33">
        <w:t xml:space="preserve"> e i benefici del protezionismo, </w:t>
      </w:r>
      <w:r w:rsidR="00166B33">
        <w:rPr>
          <w:rFonts w:cstheme="minorHAnsi"/>
        </w:rPr>
        <w:t>negoziazioni multilaterali e bilaterali.</w:t>
      </w:r>
    </w:p>
    <w:p w14:paraId="029B0709" w14:textId="77777777" w:rsidR="0083412C" w:rsidRDefault="0083412C" w:rsidP="0083412C">
      <w:pPr>
        <w:spacing w:before="120" w:line="240" w:lineRule="exact"/>
      </w:pPr>
      <w:r w:rsidRPr="00AA518A">
        <w:rPr>
          <w:i/>
        </w:rPr>
        <w:t>Economia Monetaria Internazionale</w:t>
      </w:r>
      <w:r>
        <w:t>. Le principali componenti della bilancia dei pagamenti: partite correnti e movimenti di capitale. I legami tra saldo di bilancia dei pagamenti, regime di cambio e politica monetaria. I legami tra tassi di interesse e tassi di cambio: parità coperta e scoperta dei tassi di interesse. I legami tra prezzi e tasso di cambio: legge del prezzo unico e parità del potere d'acquisto. La violazione della condizione di parità del potere d’acquisto. Le determinanti del tasso di cambio reale. Equilibrio interno ed esterno; aggiustamento e finanziamento.</w:t>
      </w:r>
    </w:p>
    <w:p w14:paraId="106984A4" w14:textId="13581E70" w:rsidR="0083412C" w:rsidRDefault="0083412C" w:rsidP="0083412C">
      <w:pPr>
        <w:spacing w:before="120" w:line="240" w:lineRule="exact"/>
      </w:pPr>
      <w:r w:rsidRPr="00AA518A">
        <w:rPr>
          <w:i/>
        </w:rPr>
        <w:t>Processo di Globalizzazione</w:t>
      </w:r>
      <w:r>
        <w:t>. Le principali determinanti del processo di global</w:t>
      </w:r>
      <w:r w:rsidR="0035222C">
        <w:t xml:space="preserve">izzazione reale e finanziaria. </w:t>
      </w:r>
      <w:r>
        <w:t>Le principali conseguenze del processo di globalizzazione reale e finanziaria: una valutazione degli effetti su crescita, povertà e distribuzione del reddito. Un caso di studio: l’integrazione economico-monetaria in Europa</w:t>
      </w:r>
      <w:r w:rsidR="005A486E">
        <w:t>.</w:t>
      </w:r>
    </w:p>
    <w:p w14:paraId="3B124D0A" w14:textId="77777777" w:rsidR="0083412C" w:rsidRPr="0035222C" w:rsidRDefault="0083412C" w:rsidP="003522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460">
        <w:rPr>
          <w:rStyle w:val="Rimandonotaapidipagina"/>
          <w:b/>
          <w:i/>
          <w:sz w:val="18"/>
        </w:rPr>
        <w:footnoteReference w:id="1"/>
      </w:r>
    </w:p>
    <w:p w14:paraId="482251B9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Teoria e Politica del Commercio Internazionale</w:t>
      </w:r>
      <w:r w:rsidRPr="0083412C">
        <w:rPr>
          <w:spacing w:val="-5"/>
        </w:rPr>
        <w:t xml:space="preserve">, Pearson, Addison Wesley, Milano, 2019 (11a edizione). </w:t>
      </w:r>
      <w:r w:rsidR="006B5460">
        <w:rPr>
          <w:spacing w:val="-5"/>
        </w:rPr>
        <w:t xml:space="preserve"> </w:t>
      </w:r>
      <w:hyperlink r:id="rId9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A5FEEC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Economia Monetaria Internazionale,</w:t>
      </w:r>
      <w:r w:rsidRPr="0083412C">
        <w:rPr>
          <w:spacing w:val="-5"/>
        </w:rPr>
        <w:t xml:space="preserve"> Pearson, Addison Wesley, Milano, 2019 (11a edizione). </w:t>
      </w:r>
      <w:r w:rsidR="006B5460">
        <w:rPr>
          <w:spacing w:val="-5"/>
        </w:rPr>
        <w:t xml:space="preserve"> </w:t>
      </w:r>
      <w:hyperlink r:id="rId10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317FF8" w14:textId="77777777" w:rsidR="0083412C" w:rsidRDefault="008D2E18" w:rsidP="0083412C">
      <w:pPr>
        <w:pStyle w:val="Testo1"/>
      </w:pPr>
      <w:r>
        <w:t>Slide</w:t>
      </w:r>
      <w:r w:rsidR="0098566E">
        <w:t>s</w:t>
      </w:r>
      <w:r>
        <w:t xml:space="preserve"> e ulteriore </w:t>
      </w:r>
      <w:r w:rsidR="0083412C">
        <w:t>materiale di supporto reperibile in Blackboard.</w:t>
      </w:r>
    </w:p>
    <w:p w14:paraId="14073DF0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DFE8CA" w14:textId="301E1882" w:rsidR="00EC31ED" w:rsidRPr="0083412C" w:rsidRDefault="00EC31ED" w:rsidP="00EC31ED">
      <w:pPr>
        <w:pStyle w:val="Testo2"/>
      </w:pPr>
      <w:r>
        <w:t>Il corso si articola in l</w:t>
      </w:r>
      <w:r w:rsidR="0083412C" w:rsidRPr="00AA518A">
        <w:t>ezioni</w:t>
      </w:r>
      <w:r>
        <w:t xml:space="preserve"> e esercitazioni frontali e si avvale, attraverso la piattaforma Blackboard, </w:t>
      </w:r>
      <w:r w:rsidRPr="00AC5233">
        <w:t xml:space="preserve">dei moderni strumenti didattici </w:t>
      </w:r>
      <w:r>
        <w:t>che</w:t>
      </w:r>
      <w:r w:rsidRPr="00AC5233">
        <w:t xml:space="preserve"> consent</w:t>
      </w:r>
      <w:r>
        <w:t>ono</w:t>
      </w:r>
      <w:r w:rsidRPr="00AC5233">
        <w:t xml:space="preserve"> forme di partecipazione attiva degli studenti</w:t>
      </w:r>
      <w:r>
        <w:t>.</w:t>
      </w:r>
    </w:p>
    <w:p w14:paraId="103CE485" w14:textId="647CBEA6" w:rsidR="0083412C" w:rsidRDefault="0083412C" w:rsidP="009E1A0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0B17871B" w14:textId="77777777" w:rsidR="0083412C" w:rsidRPr="0083412C" w:rsidRDefault="0083412C" w:rsidP="0083412C">
      <w:pPr>
        <w:pStyle w:val="Testo2"/>
      </w:pPr>
      <w:r w:rsidRPr="0083412C">
        <w:t>La valutazione delle conoscenze avviene in modalità scritta e comprende:</w:t>
      </w:r>
    </w:p>
    <w:p w14:paraId="20A6C08C" w14:textId="77777777" w:rsidR="0083412C" w:rsidRDefault="0083412C" w:rsidP="0035222C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</w:t>
      </w:r>
      <w:r w:rsidR="008D2E18">
        <w:t xml:space="preserve">domande </w:t>
      </w:r>
      <w:r>
        <w:t>teoric</w:t>
      </w:r>
      <w:r w:rsidR="008D2E18">
        <w:t>he</w:t>
      </w:r>
      <w:r>
        <w:t xml:space="preserve"> e</w:t>
      </w:r>
      <w:r w:rsidR="008D2E18">
        <w:t>d</w:t>
      </w:r>
      <w:r>
        <w:t xml:space="preserve"> </w:t>
      </w:r>
      <w:r w:rsidR="008D2E18">
        <w:t xml:space="preserve">esercizi </w:t>
      </w:r>
      <w:r>
        <w:t>numerici, sull’intero programma del corso.</w:t>
      </w:r>
    </w:p>
    <w:p w14:paraId="38357501" w14:textId="7E1B1FF3" w:rsidR="00EC31ED" w:rsidRDefault="0083412C" w:rsidP="0035222C">
      <w:pPr>
        <w:pStyle w:val="Testo2"/>
        <w:spacing w:before="120"/>
      </w:pPr>
      <w:r w:rsidRPr="0035222C">
        <w:t xml:space="preserve">La prova scritta di cui al punto sopra può anche essere sostituita da due prove parziali che contribuiscono equamente alla determinazione del voto finale – prova intermedia </w:t>
      </w:r>
      <w:r w:rsidRPr="0035222C">
        <w:lastRenderedPageBreak/>
        <w:t>durante la settimana di sospensione delle lezioni del secondo semestre e prova di completamento nella sessione d</w:t>
      </w:r>
      <w:r w:rsidR="0035222C">
        <w:t xml:space="preserve">’esame di giugno-luglio </w:t>
      </w:r>
      <w:r w:rsidR="00D04923">
        <w:t>2022</w:t>
      </w:r>
      <w:r w:rsidR="008D2E18">
        <w:t xml:space="preserve"> </w:t>
      </w:r>
      <w:r w:rsidR="0035222C">
        <w:t xml:space="preserve">– </w:t>
      </w:r>
      <w:r w:rsidRPr="0035222C">
        <w:t xml:space="preserve">alle quali possono </w:t>
      </w:r>
      <w:r w:rsidR="00255E30">
        <w:t>partecipare tutti gli studenti. L</w:t>
      </w:r>
      <w:r w:rsidR="00255E30" w:rsidRPr="00796DFB">
        <w:t>’esame viene considerato superato solo se in entrambe le prove lo studente ottiene un voto non inferiore a 18</w:t>
      </w:r>
      <w:r w:rsidR="00255E30">
        <w:t>.</w:t>
      </w:r>
    </w:p>
    <w:p w14:paraId="75D67F67" w14:textId="77777777" w:rsidR="00EC31ED" w:rsidRDefault="00EC31ED" w:rsidP="0035222C">
      <w:pPr>
        <w:pStyle w:val="Testo2"/>
        <w:spacing w:before="120"/>
      </w:pPr>
      <w:r>
        <w:t xml:space="preserve">L’esame è volto ad accertare la conoscenza teorica e la capacità dello studente di applicare i concetti e gli strumenti acquisiti all’analisi delle </w:t>
      </w:r>
      <w:r w:rsidRPr="00AA518A">
        <w:t>principali tematiche legate al processo di globalizzazione</w:t>
      </w:r>
      <w:r>
        <w:t>. La valutazione della prova scritta tiene altresì conto della capacità argomentativa, del rigore analitico e dell’utilizzo di un appropriato linguaggio tecnico.</w:t>
      </w:r>
    </w:p>
    <w:p w14:paraId="40E27CAB" w14:textId="77777777" w:rsidR="0083412C" w:rsidRPr="0035222C" w:rsidRDefault="0083412C" w:rsidP="0035222C">
      <w:pPr>
        <w:pStyle w:val="Testo2"/>
        <w:spacing w:before="120"/>
      </w:pPr>
      <w:r w:rsidRPr="0035222C">
        <w:t>Indicazioni dettagliate riguardo alle modalità delle suddette prove saranno rese disponibili in Blackboard.</w:t>
      </w:r>
    </w:p>
    <w:p w14:paraId="57089C7D" w14:textId="0D9EFA90" w:rsidR="00660137" w:rsidRDefault="0083412C" w:rsidP="008341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685915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Avvertenze</w:t>
      </w:r>
    </w:p>
    <w:p w14:paraId="3E2E1CCC" w14:textId="77777777" w:rsidR="00660137" w:rsidRPr="00432E94" w:rsidRDefault="00660137" w:rsidP="00432E94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14:paraId="0A13915C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2BBC30B8" w14:textId="77777777" w:rsidR="00660137" w:rsidRPr="0083412C" w:rsidRDefault="00660137" w:rsidP="00660137">
      <w:pPr>
        <w:pStyle w:val="Testo2"/>
      </w:pPr>
      <w:r w:rsidRPr="0083412C">
        <w:t>Conoscenza della microeconomia e macroeconomia</w:t>
      </w:r>
      <w:r>
        <w:t>.</w:t>
      </w:r>
    </w:p>
    <w:p w14:paraId="2E483F8C" w14:textId="58CD6D3D" w:rsidR="002D5E17" w:rsidRPr="0083412C" w:rsidRDefault="00660137" w:rsidP="00A07615">
      <w:pPr>
        <w:pStyle w:val="Testo2"/>
      </w:pPr>
      <w:r w:rsidRPr="0083412C">
        <w:t xml:space="preserve">I prerequisiti sono indispensabili per una adeguata comprensione delle lezioni. 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sectPr w:rsidR="002D5E17" w:rsidRPr="008341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3DC6" w14:textId="77777777" w:rsidR="00A65DCC" w:rsidRDefault="00A65DCC" w:rsidP="006B5460">
      <w:r>
        <w:separator/>
      </w:r>
    </w:p>
  </w:endnote>
  <w:endnote w:type="continuationSeparator" w:id="0">
    <w:p w14:paraId="73202DD3" w14:textId="77777777" w:rsidR="00A65DCC" w:rsidRDefault="00A65DCC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B846" w14:textId="77777777" w:rsidR="00A65DCC" w:rsidRDefault="00A65DCC" w:rsidP="006B5460">
      <w:r>
        <w:separator/>
      </w:r>
    </w:p>
  </w:footnote>
  <w:footnote w:type="continuationSeparator" w:id="0">
    <w:p w14:paraId="0827EFFD" w14:textId="77777777" w:rsidR="00A65DCC" w:rsidRDefault="00A65DCC" w:rsidP="006B5460">
      <w:r>
        <w:continuationSeparator/>
      </w:r>
    </w:p>
  </w:footnote>
  <w:footnote w:id="1">
    <w:p w14:paraId="3A4A162C" w14:textId="173A9A48" w:rsidR="006B5460" w:rsidRDefault="006B54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C"/>
    <w:rsid w:val="0000650E"/>
    <w:rsid w:val="000E364C"/>
    <w:rsid w:val="00166B33"/>
    <w:rsid w:val="00187B99"/>
    <w:rsid w:val="002014DD"/>
    <w:rsid w:val="00202BAA"/>
    <w:rsid w:val="002236E3"/>
    <w:rsid w:val="002469E2"/>
    <w:rsid w:val="00255E30"/>
    <w:rsid w:val="002D5E17"/>
    <w:rsid w:val="002F69E1"/>
    <w:rsid w:val="00310411"/>
    <w:rsid w:val="0035222C"/>
    <w:rsid w:val="004164F1"/>
    <w:rsid w:val="00432E94"/>
    <w:rsid w:val="004D1217"/>
    <w:rsid w:val="004D6008"/>
    <w:rsid w:val="0053612F"/>
    <w:rsid w:val="00557FFA"/>
    <w:rsid w:val="00570695"/>
    <w:rsid w:val="005A486E"/>
    <w:rsid w:val="005C4563"/>
    <w:rsid w:val="005C4A28"/>
    <w:rsid w:val="005C6393"/>
    <w:rsid w:val="00640794"/>
    <w:rsid w:val="006412A8"/>
    <w:rsid w:val="00660137"/>
    <w:rsid w:val="006B5460"/>
    <w:rsid w:val="006F1772"/>
    <w:rsid w:val="00766A53"/>
    <w:rsid w:val="007C54AC"/>
    <w:rsid w:val="0083412C"/>
    <w:rsid w:val="008450E2"/>
    <w:rsid w:val="008942E7"/>
    <w:rsid w:val="008A1204"/>
    <w:rsid w:val="008D2E18"/>
    <w:rsid w:val="00900CCA"/>
    <w:rsid w:val="00924B77"/>
    <w:rsid w:val="00940DA2"/>
    <w:rsid w:val="009556E2"/>
    <w:rsid w:val="0098566E"/>
    <w:rsid w:val="009E055C"/>
    <w:rsid w:val="009E1A0C"/>
    <w:rsid w:val="00A07615"/>
    <w:rsid w:val="00A65DCC"/>
    <w:rsid w:val="00A67CC3"/>
    <w:rsid w:val="00A74F6F"/>
    <w:rsid w:val="00AD7557"/>
    <w:rsid w:val="00AE0758"/>
    <w:rsid w:val="00B50C5D"/>
    <w:rsid w:val="00B51253"/>
    <w:rsid w:val="00B525CC"/>
    <w:rsid w:val="00B85291"/>
    <w:rsid w:val="00CD0A0E"/>
    <w:rsid w:val="00D04923"/>
    <w:rsid w:val="00D404F2"/>
    <w:rsid w:val="00E607E6"/>
    <w:rsid w:val="00E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  <w:style w:type="character" w:styleId="Collegamentovisitato">
    <w:name w:val="FollowedHyperlink"/>
    <w:basedOn w:val="Carpredefinitoparagrafo"/>
    <w:semiHidden/>
    <w:unhideWhenUsed/>
    <w:rsid w:val="00CD0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  <w:style w:type="character" w:styleId="Collegamentovisitato">
    <w:name w:val="FollowedHyperlink"/>
    <w:basedOn w:val="Carpredefinitoparagrafo"/>
    <w:semiHidden/>
    <w:unhideWhenUsed/>
    <w:rsid w:val="00CD0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ul-r-krugman-maurice-obstfeld-marc-melitz/economia-internazionale-ediz-mylab-9788891905369-557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4BE8-D1A2-43FE-8A18-86968DF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793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2021-05-14T09:30:00Z</dcterms:created>
  <dcterms:modified xsi:type="dcterms:W3CDTF">2021-06-29T12:20:00Z</dcterms:modified>
</cp:coreProperties>
</file>