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BB" w:rsidRDefault="009816BB" w:rsidP="009816BB">
      <w:pPr>
        <w:pStyle w:val="Titolo1"/>
      </w:pPr>
      <w:r w:rsidRPr="00A50E88">
        <w:t>Economia dell’impresa</w:t>
      </w:r>
    </w:p>
    <w:p w:rsidR="009816BB" w:rsidRDefault="009816BB" w:rsidP="009816BB">
      <w:pPr>
        <w:pStyle w:val="Titolo2"/>
      </w:pPr>
      <w:r w:rsidRPr="00332385">
        <w:t>Prof. Luca Colombo</w:t>
      </w:r>
    </w:p>
    <w:p w:rsidR="009816BB" w:rsidRDefault="009816BB" w:rsidP="009816BB">
      <w:pPr>
        <w:spacing w:before="240" w:after="120" w:line="240" w:lineRule="exact"/>
        <w:rPr>
          <w:b/>
          <w:sz w:val="18"/>
        </w:rPr>
      </w:pPr>
      <w:r>
        <w:rPr>
          <w:b/>
          <w:i/>
          <w:sz w:val="18"/>
        </w:rPr>
        <w:t>OBIETTIVO DEL CORSO E RISULTATI DI APPRENDIMENTO ATTESI</w:t>
      </w:r>
    </w:p>
    <w:p w:rsidR="009816BB" w:rsidRPr="00B670D9" w:rsidRDefault="009816BB" w:rsidP="009816BB">
      <w:r w:rsidRPr="00B670D9">
        <w:t xml:space="preserve">Il corso si propone di fornire una solida preparazione di base su alcuni temi fondamentali della moderna microeconomia, che costituiscono il punto di partenza concettuale per l’analisi microeconomica del funzionamento delle imprese. Particolare attenzione è dedicata alla natura delle </w:t>
      </w:r>
      <w:r>
        <w:t xml:space="preserve">relazioni contrattuali rilevanti per le </w:t>
      </w:r>
      <w:r w:rsidRPr="00B670D9">
        <w:t xml:space="preserve">imprese, </w:t>
      </w:r>
      <w:r>
        <w:t>in presenza di informazione asimmetrica o incompleta e di diverse strutture di mercato</w:t>
      </w:r>
      <w:r w:rsidRPr="00B670D9">
        <w:t>.</w:t>
      </w:r>
    </w:p>
    <w:p w:rsidR="009816BB" w:rsidRPr="00B670D9" w:rsidRDefault="009816BB" w:rsidP="009816BB">
      <w:pPr>
        <w:spacing w:before="120"/>
      </w:pPr>
      <w:r w:rsidRPr="00B670D9">
        <w:t>Al termine del corso gli studenti saranno in grado di:</w:t>
      </w:r>
    </w:p>
    <w:p w:rsidR="009816BB" w:rsidRPr="00B670D9" w:rsidRDefault="009816BB" w:rsidP="009816BB">
      <w:pPr>
        <w:ind w:left="284" w:hanging="284"/>
      </w:pPr>
      <w:r w:rsidRPr="00B670D9">
        <w:t>1.</w:t>
      </w:r>
      <w:r>
        <w:tab/>
      </w:r>
      <w:r w:rsidRPr="00B670D9">
        <w:t>identificare gli obiettivi e i processi decisionali delle imprese operanti in diverse forme di mercato</w:t>
      </w:r>
      <w:r>
        <w:t>, in presenza sia di informazione simmetrica, sia di informazione asimmetrica o incompleta</w:t>
      </w:r>
      <w:r w:rsidRPr="00B670D9">
        <w:t>;</w:t>
      </w:r>
    </w:p>
    <w:p w:rsidR="009816BB" w:rsidRPr="00B670D9" w:rsidRDefault="009816BB" w:rsidP="009816BB">
      <w:pPr>
        <w:ind w:left="284" w:hanging="284"/>
      </w:pPr>
      <w:r>
        <w:t>2</w:t>
      </w:r>
      <w:r w:rsidRPr="00B670D9">
        <w:t>.</w:t>
      </w:r>
      <w:r>
        <w:tab/>
      </w:r>
      <w:r w:rsidRPr="00B670D9">
        <w:t>comprendere le caratteristiche del disegno contrattuale in presenza di informazione simmetrica, in termini di distribuzione del rischio e definizione dei meccanismi di compensazione;</w:t>
      </w:r>
    </w:p>
    <w:p w:rsidR="009816BB" w:rsidRPr="00B670D9" w:rsidRDefault="009816BB" w:rsidP="009816BB">
      <w:pPr>
        <w:ind w:left="284" w:hanging="284"/>
      </w:pPr>
      <w:r>
        <w:t>3</w:t>
      </w:r>
      <w:r w:rsidRPr="00B670D9">
        <w:t>.</w:t>
      </w:r>
      <w:r>
        <w:tab/>
      </w:r>
      <w:r w:rsidRPr="00B670D9">
        <w:t xml:space="preserve">valutare le conseguenze della presenza di asimmetria informativa, sia </w:t>
      </w:r>
      <w:proofErr w:type="spellStart"/>
      <w:r w:rsidRPr="00B670D9">
        <w:t>pre</w:t>
      </w:r>
      <w:proofErr w:type="spellEnd"/>
      <w:r w:rsidRPr="00B670D9">
        <w:t>- sia post-contrattuale, per il disegno di contratti incentivanti in contesti nei quali le parti che dispongono di informazione privata rilevante ai fini della relazione contrattuale non hanno interesse a rivelare tale informazione;</w:t>
      </w:r>
    </w:p>
    <w:p w:rsidR="009816BB" w:rsidRPr="00B670D9" w:rsidRDefault="009816BB" w:rsidP="009816BB">
      <w:pPr>
        <w:ind w:left="284" w:hanging="284"/>
      </w:pPr>
      <w:r>
        <w:t>4</w:t>
      </w:r>
      <w:r w:rsidRPr="00B670D9">
        <w:t>.</w:t>
      </w:r>
      <w:r>
        <w:tab/>
      </w:r>
      <w:r w:rsidRPr="00B670D9">
        <w:t>comprendere il valore di attività di segnalazione in presenza di asimmetria informativa;</w:t>
      </w:r>
    </w:p>
    <w:p w:rsidR="009816BB" w:rsidRDefault="009816BB" w:rsidP="009816BB">
      <w:pPr>
        <w:ind w:left="284" w:hanging="284"/>
      </w:pPr>
      <w:r>
        <w:t>5</w:t>
      </w:r>
      <w:r w:rsidRPr="00B670D9">
        <w:t>.</w:t>
      </w:r>
      <w:r>
        <w:tab/>
      </w:r>
      <w:r w:rsidRPr="00B670D9">
        <w:t xml:space="preserve">comprendere l’impatto delle asimmetrie informative sui processi decisionali delle imprese, nonché sulle relazioni tra </w:t>
      </w:r>
      <w:r w:rsidRPr="00B670D9">
        <w:rPr>
          <w:i/>
        </w:rPr>
        <w:t>stakeholder</w:t>
      </w:r>
      <w:r>
        <w:t>;</w:t>
      </w:r>
    </w:p>
    <w:p w:rsidR="009816BB" w:rsidRPr="00B670D9" w:rsidRDefault="009816BB" w:rsidP="009816BB">
      <w:pPr>
        <w:ind w:left="284" w:hanging="284"/>
      </w:pPr>
      <w:r>
        <w:t>6</w:t>
      </w:r>
      <w:r w:rsidRPr="00B670D9">
        <w:t>.</w:t>
      </w:r>
      <w:r>
        <w:tab/>
      </w:r>
      <w:r w:rsidRPr="00B670D9">
        <w:t>comprendere le principali determinanti e le implicazioni della struttura organizzativa delle imprese</w:t>
      </w:r>
      <w:r>
        <w:t>.</w:t>
      </w:r>
    </w:p>
    <w:p w:rsidR="009816BB" w:rsidRDefault="009816BB" w:rsidP="009816BB">
      <w:pPr>
        <w:spacing w:before="240" w:after="120" w:line="240" w:lineRule="exact"/>
        <w:rPr>
          <w:b/>
          <w:sz w:val="18"/>
        </w:rPr>
      </w:pPr>
      <w:r>
        <w:rPr>
          <w:b/>
          <w:i/>
          <w:sz w:val="18"/>
        </w:rPr>
        <w:t>PROGRAMMA DEL CORSO</w:t>
      </w:r>
    </w:p>
    <w:p w:rsidR="009816BB" w:rsidRDefault="009816BB" w:rsidP="009816BB">
      <w:r>
        <w:t xml:space="preserve">Il corso si concentra sull’impatto dell’informazione - asimmetrica o incompleta - sugli obiettivi e l’organizzazione dell’impresa, nonché sugli incentivi delle diverse categorie di </w:t>
      </w:r>
      <w:r w:rsidRPr="00451A30">
        <w:rPr>
          <w:i/>
          <w:iCs/>
        </w:rPr>
        <w:t>stakeholder</w:t>
      </w:r>
      <w:r w:rsidRPr="00451A30">
        <w:t xml:space="preserve"> in essa operanti </w:t>
      </w:r>
      <w:r>
        <w:t xml:space="preserve">e affronta le relazioni tra organizzazione, incentivi ed efficienza. </w:t>
      </w:r>
    </w:p>
    <w:p w:rsidR="009816BB" w:rsidRDefault="009816BB" w:rsidP="009816BB">
      <w:r>
        <w:t>La parte centrale del corso è dedicata all’introduzione dei concetti fondamentali della teoria dei contratti, sintetizzati di seguito.</w:t>
      </w:r>
    </w:p>
    <w:p w:rsidR="009816BB" w:rsidRPr="00332385" w:rsidRDefault="009816BB" w:rsidP="009816BB">
      <w:pPr>
        <w:spacing w:before="120"/>
        <w:rPr>
          <w:i/>
        </w:rPr>
      </w:pPr>
      <w:r>
        <w:t>1.</w:t>
      </w:r>
      <w:r>
        <w:tab/>
      </w:r>
      <w:r w:rsidRPr="00332385">
        <w:rPr>
          <w:i/>
        </w:rPr>
        <w:t>Il disegno del contratto in condizioni di informazione simmetrica</w:t>
      </w:r>
    </w:p>
    <w:p w:rsidR="009816BB" w:rsidRDefault="009816BB" w:rsidP="009816BB">
      <w:r>
        <w:t>–</w:t>
      </w:r>
      <w:r>
        <w:tab/>
        <w:t>gli elementi essenziali del modello principale agente;</w:t>
      </w:r>
    </w:p>
    <w:p w:rsidR="009816BB" w:rsidRDefault="009816BB" w:rsidP="009816BB">
      <w:pPr>
        <w:ind w:left="284" w:hanging="284"/>
      </w:pPr>
      <w:r>
        <w:t>–</w:t>
      </w:r>
      <w:r>
        <w:tab/>
        <w:t>la distribuzione del rischio tra i partecipanti al contratto e il ruolo dell’avversione al rischio;</w:t>
      </w:r>
    </w:p>
    <w:p w:rsidR="009816BB" w:rsidRDefault="009816BB" w:rsidP="009816BB">
      <w:pPr>
        <w:ind w:left="284" w:hanging="284"/>
      </w:pPr>
      <w:r>
        <w:lastRenderedPageBreak/>
        <w:t>–</w:t>
      </w:r>
      <w:r>
        <w:tab/>
        <w:t>la determinazione del meccanismo di compensazione e del livello di sforzo ottimali.</w:t>
      </w:r>
    </w:p>
    <w:p w:rsidR="009816BB" w:rsidRDefault="009816BB" w:rsidP="009816BB">
      <w:pPr>
        <w:spacing w:before="120"/>
      </w:pPr>
      <w:r>
        <w:t>2.</w:t>
      </w:r>
      <w:r>
        <w:tab/>
      </w:r>
      <w:r w:rsidRPr="00332385">
        <w:rPr>
          <w:i/>
        </w:rPr>
        <w:t>Il disegno del contratto in condizioni di informazione asimmetrica</w:t>
      </w:r>
    </w:p>
    <w:p w:rsidR="009816BB" w:rsidRDefault="009816BB" w:rsidP="009816BB">
      <w:r>
        <w:t>–</w:t>
      </w:r>
      <w:r>
        <w:tab/>
        <w:t>il problema dell’azzardo morale</w:t>
      </w:r>
      <w:r w:rsidRPr="00332385">
        <w:t>;</w:t>
      </w:r>
    </w:p>
    <w:p w:rsidR="009816BB" w:rsidRDefault="009816BB" w:rsidP="009816BB">
      <w:r>
        <w:t>–</w:t>
      </w:r>
      <w:r>
        <w:tab/>
        <w:t>il disegno contrattuale in presenza di azzardo morale;</w:t>
      </w:r>
    </w:p>
    <w:p w:rsidR="009816BB" w:rsidRDefault="009816BB" w:rsidP="009816BB">
      <w:r>
        <w:t>–</w:t>
      </w:r>
      <w:r>
        <w:tab/>
        <w:t>il problema della selezione avversa;</w:t>
      </w:r>
    </w:p>
    <w:p w:rsidR="009816BB" w:rsidRDefault="009816BB" w:rsidP="009816BB">
      <w:r>
        <w:t>–</w:t>
      </w:r>
      <w:r>
        <w:tab/>
        <w:t>il disegno contrattuale in presenza di selezione avversa;</w:t>
      </w:r>
    </w:p>
    <w:p w:rsidR="009816BB" w:rsidRDefault="009816BB" w:rsidP="009816BB">
      <w:r>
        <w:t>–</w:t>
      </w:r>
      <w:r>
        <w:tab/>
        <w:t>la selezione avversa e competizione tra principali.</w:t>
      </w:r>
    </w:p>
    <w:p w:rsidR="009816BB" w:rsidRDefault="009816BB" w:rsidP="009816BB">
      <w:pPr>
        <w:spacing w:before="120"/>
      </w:pPr>
      <w:r>
        <w:t>3.</w:t>
      </w:r>
      <w:r>
        <w:tab/>
      </w:r>
      <w:r w:rsidRPr="00332385">
        <w:rPr>
          <w:i/>
        </w:rPr>
        <w:t>Il ruolo della segnalazione nel disegno contrattuale</w:t>
      </w:r>
    </w:p>
    <w:p w:rsidR="009816BB" w:rsidRDefault="009816BB" w:rsidP="009816BB">
      <w:r>
        <w:t>–</w:t>
      </w:r>
      <w:r>
        <w:tab/>
        <w:t>il valore dell’informazione privata e dei segnali;</w:t>
      </w:r>
    </w:p>
    <w:p w:rsidR="009816BB" w:rsidRDefault="009816BB" w:rsidP="009816BB">
      <w:pPr>
        <w:ind w:left="284" w:hanging="284"/>
      </w:pPr>
      <w:r>
        <w:t>–</w:t>
      </w:r>
      <w:r>
        <w:tab/>
        <w:t>il disegno contrattuale in presenza di agenti che segnalano le proprie caratteristiche;</w:t>
      </w:r>
    </w:p>
    <w:p w:rsidR="009816BB" w:rsidRDefault="009816BB" w:rsidP="009816BB">
      <w:r>
        <w:t>–</w:t>
      </w:r>
      <w:r>
        <w:tab/>
        <w:t xml:space="preserve">gli equilibri di separazione e </w:t>
      </w:r>
      <w:proofErr w:type="spellStart"/>
      <w:r w:rsidRPr="00332385">
        <w:rPr>
          <w:i/>
        </w:rPr>
        <w:t>pooling</w:t>
      </w:r>
      <w:proofErr w:type="spellEnd"/>
      <w:r>
        <w:t>;</w:t>
      </w:r>
    </w:p>
    <w:p w:rsidR="009816BB" w:rsidRDefault="009816BB" w:rsidP="009816BB">
      <w:r>
        <w:t>–</w:t>
      </w:r>
      <w:r>
        <w:tab/>
        <w:t>il potere informativo dei contratti;</w:t>
      </w:r>
    </w:p>
    <w:p w:rsidR="009816BB" w:rsidRDefault="009816BB" w:rsidP="009816BB">
      <w:r>
        <w:t>–</w:t>
      </w:r>
      <w:r>
        <w:tab/>
      </w:r>
      <w:proofErr w:type="spellStart"/>
      <w:r>
        <w:t>l’</w:t>
      </w:r>
      <w:r w:rsidRPr="00332385">
        <w:rPr>
          <w:i/>
        </w:rPr>
        <w:t>intuitive</w:t>
      </w:r>
      <w:proofErr w:type="spellEnd"/>
      <w:r w:rsidRPr="00332385">
        <w:rPr>
          <w:i/>
        </w:rPr>
        <w:t xml:space="preserve"> </w:t>
      </w:r>
      <w:proofErr w:type="spellStart"/>
      <w:r w:rsidRPr="00332385">
        <w:rPr>
          <w:i/>
        </w:rPr>
        <w:t>criterion</w:t>
      </w:r>
      <w:proofErr w:type="spellEnd"/>
      <w:r>
        <w:t>.</w:t>
      </w:r>
    </w:p>
    <w:p w:rsidR="009816BB" w:rsidRDefault="009816BB" w:rsidP="009816BB">
      <w:pPr>
        <w:spacing w:before="120"/>
      </w:pPr>
      <w:r>
        <w:t>Le applicazioni economiche della teoria dei contratti hanno un rilievo non inferiore a quello assegnato agli aspetti teorici e modellistici, al fine sia di agevolare la comprensione del processo di costruzione dei modelli formali, sia di illustrare la varietà degli ambiti di applicazione dei temi trattati all’economia dell’impresa.</w:t>
      </w:r>
    </w:p>
    <w:p w:rsidR="009816BB" w:rsidRDefault="009816BB" w:rsidP="009816BB">
      <w:r>
        <w:t>In particolare, sono investigati i problemi di disegno contrattuale per settori nei quali l’impatto delle asimmetrie informative è particolarmente rilevante (e.g. assicurazione, credito). È, inoltre, illustrato il ruolo della teoria dei contratti nella definizione della remunerazione di dipendenti e manager, nonché nell’analisi della struttura finanziaria delle imprese e dell’allocazione del controllo.</w:t>
      </w:r>
    </w:p>
    <w:p w:rsidR="009816BB" w:rsidRDefault="009816BB" w:rsidP="009816BB">
      <w:pPr>
        <w:keepNext/>
        <w:spacing w:before="240" w:after="120" w:line="240" w:lineRule="exact"/>
        <w:rPr>
          <w:b/>
          <w:sz w:val="18"/>
        </w:rPr>
      </w:pPr>
      <w:r>
        <w:rPr>
          <w:b/>
          <w:i/>
          <w:sz w:val="18"/>
        </w:rPr>
        <w:t>BIBLIOGRAFIA</w:t>
      </w:r>
      <w:r w:rsidR="00711E65">
        <w:rPr>
          <w:rStyle w:val="Rimandonotaapidipagina"/>
          <w:b/>
          <w:i/>
          <w:sz w:val="18"/>
        </w:rPr>
        <w:footnoteReference w:id="1"/>
      </w:r>
    </w:p>
    <w:p w:rsidR="009816BB" w:rsidRPr="00B670D9" w:rsidRDefault="009816BB" w:rsidP="009816BB">
      <w:pPr>
        <w:pStyle w:val="Testo1"/>
      </w:pPr>
      <w:r w:rsidRPr="00B670D9">
        <w:t>Per la parte del corso relativa alla teoria dei contratti:</w:t>
      </w:r>
    </w:p>
    <w:p w:rsidR="009816BB" w:rsidRPr="009B17EC" w:rsidRDefault="009816BB" w:rsidP="009816BB">
      <w:pPr>
        <w:pStyle w:val="Testo1"/>
        <w:rPr>
          <w:spacing w:val="-5"/>
          <w:lang w:val="en-US"/>
        </w:rPr>
      </w:pPr>
      <w:r w:rsidRPr="007B2E09">
        <w:rPr>
          <w:smallCaps/>
          <w:spacing w:val="-5"/>
          <w:sz w:val="16"/>
          <w:lang w:val="en-US"/>
        </w:rPr>
        <w:t>I. Macho-Stadler-J.D. Pérez-Castrillo</w:t>
      </w:r>
      <w:r w:rsidRPr="009B17EC">
        <w:rPr>
          <w:smallCaps/>
          <w:spacing w:val="-5"/>
          <w:sz w:val="16"/>
          <w:lang w:val="en-US"/>
        </w:rPr>
        <w:t>,</w:t>
      </w:r>
      <w:r w:rsidRPr="009B17EC">
        <w:rPr>
          <w:spacing w:val="-5"/>
          <w:sz w:val="16"/>
          <w:lang w:val="en-US"/>
        </w:rPr>
        <w:t xml:space="preserve"> </w:t>
      </w:r>
      <w:r w:rsidRPr="009B17EC">
        <w:rPr>
          <w:i/>
          <w:spacing w:val="-5"/>
          <w:lang w:val="en-US"/>
        </w:rPr>
        <w:t>An Introduction to the Economics of Information: Incentives and Contracts,</w:t>
      </w:r>
      <w:r w:rsidRPr="009B17EC">
        <w:rPr>
          <w:spacing w:val="-5"/>
          <w:lang w:val="en-US"/>
        </w:rPr>
        <w:t xml:space="preserve"> Oxford University Press, ultima edizione.</w:t>
      </w:r>
    </w:p>
    <w:p w:rsidR="009816BB" w:rsidRPr="00B670D9" w:rsidRDefault="009816BB" w:rsidP="009816BB">
      <w:pPr>
        <w:pStyle w:val="Testo1"/>
      </w:pPr>
      <w:r w:rsidRPr="00B670D9">
        <w:t>Per la parte del corso relativa a temi specifici di teoria dell’impresa:</w:t>
      </w:r>
    </w:p>
    <w:p w:rsidR="009816BB" w:rsidRPr="009B17EC" w:rsidRDefault="009816BB" w:rsidP="009816BB">
      <w:pPr>
        <w:pStyle w:val="Testo1"/>
        <w:rPr>
          <w:spacing w:val="-5"/>
        </w:rPr>
      </w:pPr>
      <w:r w:rsidRPr="007B2E09">
        <w:rPr>
          <w:smallCaps/>
          <w:spacing w:val="-5"/>
          <w:sz w:val="16"/>
          <w:lang w:val="en-US"/>
        </w:rPr>
        <w:t>P. Milgrom-J. Roberts</w:t>
      </w:r>
      <w:r w:rsidRPr="009B17EC">
        <w:rPr>
          <w:smallCaps/>
          <w:spacing w:val="-5"/>
          <w:sz w:val="16"/>
          <w:lang w:val="en-US"/>
        </w:rPr>
        <w:t>,</w:t>
      </w:r>
      <w:r w:rsidRPr="009B17EC">
        <w:rPr>
          <w:spacing w:val="-5"/>
          <w:sz w:val="16"/>
          <w:lang w:val="en-US"/>
        </w:rPr>
        <w:t xml:space="preserve"> </w:t>
      </w:r>
      <w:r w:rsidRPr="009B17EC">
        <w:rPr>
          <w:i/>
          <w:spacing w:val="-5"/>
          <w:lang w:val="en-US"/>
        </w:rPr>
        <w:t xml:space="preserve">Economia. </w:t>
      </w:r>
      <w:r w:rsidRPr="009B17EC">
        <w:rPr>
          <w:i/>
          <w:spacing w:val="-5"/>
        </w:rPr>
        <w:t>Organizzazione e management,</w:t>
      </w:r>
      <w:r w:rsidRPr="009B17EC">
        <w:rPr>
          <w:spacing w:val="-5"/>
        </w:rPr>
        <w:t xml:space="preserve"> Il Mulino, ultima edizione.</w:t>
      </w:r>
      <w:r w:rsidR="00711E65">
        <w:rPr>
          <w:spacing w:val="-5"/>
        </w:rPr>
        <w:t xml:space="preserve"> </w:t>
      </w:r>
      <w:hyperlink r:id="rId8" w:history="1">
        <w:r w:rsidR="00711E65" w:rsidRPr="00711E65">
          <w:rPr>
            <w:rStyle w:val="Collegamentoipertestuale"/>
            <w:rFonts w:ascii="Times New Roman" w:hAnsi="Times New Roman"/>
            <w:i/>
            <w:sz w:val="16"/>
            <w:szCs w:val="16"/>
          </w:rPr>
          <w:t>Acquista da VP</w:t>
        </w:r>
      </w:hyperlink>
      <w:bookmarkStart w:id="0" w:name="_GoBack"/>
      <w:bookmarkEnd w:id="0"/>
    </w:p>
    <w:p w:rsidR="009816BB" w:rsidRDefault="009816BB" w:rsidP="009816BB">
      <w:pPr>
        <w:pStyle w:val="Testo1"/>
        <w:ind w:left="0" w:firstLine="0"/>
      </w:pPr>
      <w:r w:rsidRPr="00B670D9">
        <w:t xml:space="preserve">Appunti del docente, materiale didattico integrativo e riferimenti bibliografici dettagliati saranno resi disponibili su </w:t>
      </w:r>
      <w:r w:rsidRPr="00D122EB">
        <w:rPr>
          <w:i/>
          <w:iCs/>
        </w:rPr>
        <w:t>Blackboard</w:t>
      </w:r>
      <w:r w:rsidRPr="00B670D9">
        <w:t xml:space="preserve"> alla pagina dedicata al corso.</w:t>
      </w:r>
    </w:p>
    <w:p w:rsidR="009816BB" w:rsidRDefault="009816BB" w:rsidP="009816BB">
      <w:pPr>
        <w:spacing w:before="240" w:after="120"/>
        <w:rPr>
          <w:b/>
          <w:i/>
          <w:sz w:val="18"/>
        </w:rPr>
      </w:pPr>
      <w:r>
        <w:rPr>
          <w:b/>
          <w:i/>
          <w:sz w:val="18"/>
        </w:rPr>
        <w:t>DIDATTICA DEL CORSO</w:t>
      </w:r>
    </w:p>
    <w:p w:rsidR="009816BB" w:rsidRPr="009B17EC" w:rsidRDefault="009816BB" w:rsidP="009816BB">
      <w:pPr>
        <w:pStyle w:val="Testo2"/>
      </w:pPr>
      <w:r w:rsidRPr="009B17EC">
        <w:lastRenderedPageBreak/>
        <w:t>Il corso è articolato in lezioni teoriche, accompagnate da applicazioni relative ai principali temi affrontati.</w:t>
      </w:r>
    </w:p>
    <w:p w:rsidR="009816BB" w:rsidRPr="009B17EC" w:rsidRDefault="009816BB" w:rsidP="009816BB">
      <w:pPr>
        <w:pStyle w:val="Testo2"/>
      </w:pPr>
      <w:r w:rsidRPr="009B17EC">
        <w:t>Gli studenti che lo desiderano potranno svolgere approfondimenti da concordare con il docente su specifici temi legati ai contenuti del corso, quali a puro titolo d’esempio: i meccanismi di incentivazione dei manager, la struttura finanziaria delle imprese, l’impatto delle asimmetrie informative su assicurazioni e banche, i processi decisionali nelle organizzazioni senza fini di lucro, il ruolo delle asimmetrie informative nelle crisi finanziarie e del debito.</w:t>
      </w:r>
    </w:p>
    <w:p w:rsidR="009816BB" w:rsidRDefault="009816BB" w:rsidP="009816BB">
      <w:pPr>
        <w:spacing w:before="240" w:after="120"/>
        <w:rPr>
          <w:b/>
          <w:i/>
          <w:sz w:val="18"/>
        </w:rPr>
      </w:pPr>
      <w:r>
        <w:rPr>
          <w:b/>
          <w:i/>
          <w:sz w:val="18"/>
        </w:rPr>
        <w:t>METODO E CRITERI DI VALUTAZIONE</w:t>
      </w:r>
    </w:p>
    <w:p w:rsidR="009816BB" w:rsidRPr="009B17EC" w:rsidRDefault="009816BB" w:rsidP="009816BB">
      <w:pPr>
        <w:pStyle w:val="Testo2"/>
      </w:pPr>
      <w:r w:rsidRPr="009B17EC">
        <w:t xml:space="preserve">I risultati dell’apprendimento sono accertati mediante una prova scritta. Tale prova si articola su domande teoriche e su problemi. </w:t>
      </w:r>
    </w:p>
    <w:p w:rsidR="009816BB" w:rsidRPr="009B17EC" w:rsidRDefault="009816BB" w:rsidP="009816BB">
      <w:pPr>
        <w:pStyle w:val="Testo2"/>
      </w:pPr>
      <w:r w:rsidRPr="009B17EC">
        <w:t xml:space="preserve">Le risposte alle domande volte a verificare l’apprendimento dei fondamenti teorici sono valutate tenendo conto delle conoscenze espresse, della capacità di ragionamento e della capacità argomentativa. I problemi sono strutturati in modo da verificare le capacità logiche, analitiche e di </w:t>
      </w:r>
      <w:r w:rsidRPr="00793A4F">
        <w:rPr>
          <w:i/>
          <w:iCs/>
        </w:rPr>
        <w:t>problem solving</w:t>
      </w:r>
      <w:r w:rsidRPr="009B17EC">
        <w:t xml:space="preserve"> dei candidati. </w:t>
      </w:r>
    </w:p>
    <w:p w:rsidR="009816BB" w:rsidRPr="009B17EC" w:rsidRDefault="009816BB" w:rsidP="009816BB">
      <w:pPr>
        <w:pStyle w:val="Testo2"/>
      </w:pPr>
      <w:r w:rsidRPr="009B17EC">
        <w:t>Tutte le domande sono valutate analiticamente in trentesimi. Il voto finale è dato dalla media delle valutazioni espresse per i singoli quesiti.</w:t>
      </w:r>
    </w:p>
    <w:p w:rsidR="009816BB" w:rsidRPr="009B17EC" w:rsidRDefault="009816BB" w:rsidP="009816BB">
      <w:pPr>
        <w:pStyle w:val="Testo2"/>
      </w:pPr>
      <w:r w:rsidRPr="009B17EC">
        <w:t>Tutti gli studenti che lo desiderano possono suddividere la prova scritta in due parti, sostenendo una prova intermedia e una prova di completamento, che concorrono in uguale misura alla determinazione del voto finale. La prova intermedia verte sulla parte del programma effettivamente svolta durante le lezioni fino allo svolgimento della prova stessa e ha luogo durante la settimana appositamente prevista dal calendario accademico. La prova di completamento ha luogo al termine delle lezioni e deve necessariamente essere sostenuta entro la prima sessione d’esame utile al termine del corso.</w:t>
      </w:r>
    </w:p>
    <w:p w:rsidR="009816BB" w:rsidRPr="009B17EC" w:rsidRDefault="009816BB" w:rsidP="009816BB">
      <w:pPr>
        <w:pStyle w:val="Testo2"/>
      </w:pPr>
      <w:r w:rsidRPr="009B17EC">
        <w:t xml:space="preserve">Eventuali ulteriori informazioni saranno rese disponibili nella </w:t>
      </w:r>
      <w:r>
        <w:t>pagina</w:t>
      </w:r>
      <w:r w:rsidRPr="009B17EC">
        <w:t xml:space="preserve"> di </w:t>
      </w:r>
      <w:r w:rsidRPr="00D122EB">
        <w:rPr>
          <w:i/>
          <w:iCs/>
        </w:rPr>
        <w:t>Blackboard</w:t>
      </w:r>
      <w:r w:rsidRPr="009B17EC">
        <w:t xml:space="preserve"> dedicata al corso.</w:t>
      </w:r>
    </w:p>
    <w:p w:rsidR="009816BB" w:rsidRDefault="009816BB" w:rsidP="009816BB">
      <w:pPr>
        <w:spacing w:before="240" w:after="120" w:line="240" w:lineRule="exact"/>
        <w:rPr>
          <w:b/>
          <w:i/>
          <w:sz w:val="18"/>
        </w:rPr>
      </w:pPr>
      <w:r>
        <w:rPr>
          <w:b/>
          <w:i/>
          <w:sz w:val="18"/>
        </w:rPr>
        <w:t>AVVERTENZE E PREREQUISITI</w:t>
      </w:r>
    </w:p>
    <w:p w:rsidR="009816BB" w:rsidRPr="009B17EC" w:rsidRDefault="009816BB" w:rsidP="009816BB">
      <w:pPr>
        <w:pStyle w:val="Testo2"/>
      </w:pPr>
      <w:r w:rsidRPr="009B17EC">
        <w:t xml:space="preserve">Il corso richiede una buona conoscenza di base delle principali nozioni della </w:t>
      </w:r>
      <w:r>
        <w:t>m</w:t>
      </w:r>
      <w:r w:rsidRPr="009B17EC">
        <w:t>icroeconomia e dei fondamenti dell’analisi matematica. Una frequenza sistematica e una partecipazione attiva alle lezioni contribuiscono significativamente a un efficace apprendimento dei temi trattati durante il corso.</w:t>
      </w:r>
    </w:p>
    <w:p w:rsidR="00A873A8" w:rsidRDefault="00A873A8"/>
    <w:sectPr w:rsidR="00A873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65" w:rsidRDefault="00711E65" w:rsidP="00711E65">
      <w:pPr>
        <w:spacing w:line="240" w:lineRule="auto"/>
      </w:pPr>
      <w:r>
        <w:separator/>
      </w:r>
    </w:p>
  </w:endnote>
  <w:endnote w:type="continuationSeparator" w:id="0">
    <w:p w:rsidR="00711E65" w:rsidRDefault="00711E65" w:rsidP="00711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65" w:rsidRDefault="00711E65" w:rsidP="00711E65">
      <w:pPr>
        <w:spacing w:line="240" w:lineRule="auto"/>
      </w:pPr>
      <w:r>
        <w:separator/>
      </w:r>
    </w:p>
  </w:footnote>
  <w:footnote w:type="continuationSeparator" w:id="0">
    <w:p w:rsidR="00711E65" w:rsidRDefault="00711E65" w:rsidP="00711E65">
      <w:pPr>
        <w:spacing w:line="240" w:lineRule="auto"/>
      </w:pPr>
      <w:r>
        <w:continuationSeparator/>
      </w:r>
    </w:p>
  </w:footnote>
  <w:footnote w:id="1">
    <w:p w:rsidR="00711E65" w:rsidRDefault="00711E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BB"/>
    <w:rsid w:val="00711E65"/>
    <w:rsid w:val="009816BB"/>
    <w:rsid w:val="00A87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6BB"/>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9816BB"/>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9816BB"/>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9816B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16B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9816BB"/>
    <w:rPr>
      <w:rFonts w:ascii="Times" w:eastAsia="Times New Roman" w:hAnsi="Times" w:cs="Times New Roman"/>
      <w:smallCaps/>
      <w:noProof/>
      <w:sz w:val="18"/>
      <w:szCs w:val="20"/>
      <w:lang w:eastAsia="it-IT"/>
    </w:rPr>
  </w:style>
  <w:style w:type="paragraph" w:customStyle="1" w:styleId="Testo1">
    <w:name w:val="Testo 1"/>
    <w:rsid w:val="009816BB"/>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9816BB"/>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9816BB"/>
    <w:rPr>
      <w:rFonts w:asciiTheme="majorHAnsi" w:eastAsiaTheme="majorEastAsia" w:hAnsiTheme="majorHAnsi" w:cstheme="majorBidi"/>
      <w:color w:val="1F4D78"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711E65"/>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711E6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11E65"/>
    <w:rPr>
      <w:vertAlign w:val="superscript"/>
    </w:rPr>
  </w:style>
  <w:style w:type="character" w:styleId="Collegamentoipertestuale">
    <w:name w:val="Hyperlink"/>
    <w:basedOn w:val="Carpredefinitoparagrafo"/>
    <w:uiPriority w:val="99"/>
    <w:unhideWhenUsed/>
    <w:rsid w:val="00711E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6BB"/>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9816BB"/>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9816BB"/>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9816B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16B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9816BB"/>
    <w:rPr>
      <w:rFonts w:ascii="Times" w:eastAsia="Times New Roman" w:hAnsi="Times" w:cs="Times New Roman"/>
      <w:smallCaps/>
      <w:noProof/>
      <w:sz w:val="18"/>
      <w:szCs w:val="20"/>
      <w:lang w:eastAsia="it-IT"/>
    </w:rPr>
  </w:style>
  <w:style w:type="paragraph" w:customStyle="1" w:styleId="Testo1">
    <w:name w:val="Testo 1"/>
    <w:rsid w:val="009816BB"/>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9816BB"/>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9816BB"/>
    <w:rPr>
      <w:rFonts w:asciiTheme="majorHAnsi" w:eastAsiaTheme="majorEastAsia" w:hAnsiTheme="majorHAnsi" w:cstheme="majorBidi"/>
      <w:color w:val="1F4D78"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711E65"/>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711E6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11E65"/>
    <w:rPr>
      <w:vertAlign w:val="superscript"/>
    </w:rPr>
  </w:style>
  <w:style w:type="character" w:styleId="Collegamentoipertestuale">
    <w:name w:val="Hyperlink"/>
    <w:basedOn w:val="Carpredefinitoparagrafo"/>
    <w:uiPriority w:val="99"/>
    <w:unhideWhenUsed/>
    <w:rsid w:val="00711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s=milgrom%20econom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2EF54-7639-4519-9B42-6B4C018D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Rolli Andrea</cp:lastModifiedBy>
  <cp:revision>2</cp:revision>
  <dcterms:created xsi:type="dcterms:W3CDTF">2021-05-14T09:04:00Z</dcterms:created>
  <dcterms:modified xsi:type="dcterms:W3CDTF">2021-06-29T12:23:00Z</dcterms:modified>
</cp:coreProperties>
</file>