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2C17CF" w14:textId="0B324EED" w:rsidR="00244DCD" w:rsidRPr="00772C86" w:rsidRDefault="00244DCD" w:rsidP="00244DCD">
      <w:pPr>
        <w:pStyle w:val="Titolo1"/>
      </w:pPr>
      <w:r w:rsidRPr="00772C86">
        <w:t xml:space="preserve">Economia </w:t>
      </w:r>
      <w:r w:rsidR="00D72103">
        <w:t>e gestione della banca</w:t>
      </w:r>
      <w:r w:rsidR="00A62E73" w:rsidRPr="00772C86">
        <w:t xml:space="preserve"> </w:t>
      </w:r>
    </w:p>
    <w:p w14:paraId="4122134E" w14:textId="77777777" w:rsidR="004B61B9" w:rsidRPr="004B61B9" w:rsidRDefault="004B61B9" w:rsidP="004B61B9">
      <w:pPr>
        <w:tabs>
          <w:tab w:val="clear" w:pos="284"/>
        </w:tabs>
        <w:outlineLvl w:val="1"/>
        <w:rPr>
          <w:rFonts w:ascii="Times" w:hAnsi="Times"/>
          <w:smallCaps/>
          <w:noProof/>
          <w:sz w:val="18"/>
          <w:szCs w:val="20"/>
        </w:rPr>
      </w:pPr>
      <w:r w:rsidRPr="004B61B9">
        <w:rPr>
          <w:rFonts w:ascii="Times" w:hAnsi="Times"/>
          <w:smallCaps/>
          <w:noProof/>
          <w:sz w:val="18"/>
          <w:szCs w:val="20"/>
        </w:rPr>
        <w:t>Gr. A-Ca: Prof. Marco Ercole Oriani; Gr. Ce-Fr: Prof. Federica Poli; Gr. Fu-Ma: Prof. Andrea Paltrinieri; Gr. Mc-Ri: Prof. Milena Migliavacca; Gr.Ro-Z: Prof. Mariarosa Borroni</w:t>
      </w:r>
    </w:p>
    <w:p w14:paraId="6ECA3D3A" w14:textId="77777777" w:rsidR="002D5E17" w:rsidRPr="00772C86" w:rsidRDefault="00244DCD" w:rsidP="00244DCD">
      <w:pPr>
        <w:spacing w:before="240" w:after="120"/>
        <w:rPr>
          <w:b/>
          <w:sz w:val="18"/>
        </w:rPr>
      </w:pPr>
      <w:r w:rsidRPr="00772C86">
        <w:rPr>
          <w:b/>
          <w:i/>
          <w:sz w:val="18"/>
        </w:rPr>
        <w:t>OBIETTIVO DEL CORSO E RISULTATI DI APPRENDIMENTO ATTESI</w:t>
      </w:r>
    </w:p>
    <w:p w14:paraId="5F9BDB18" w14:textId="77777777" w:rsidR="00244DCD" w:rsidRPr="00772C86" w:rsidRDefault="00244DCD" w:rsidP="00244DCD">
      <w:r w:rsidRPr="00772C86">
        <w:t>Il corso si propone di far acquisire agli studenti gli elementi di base relativi alla struttura del sistema finanziario, alle funzioni in esso svolte dagli intermediari finanziari, alle principali norme che ne regolano l’attività e, in particolare, alle problematiche organizzative e gestionali affrontate dagli intermediari bancari.</w:t>
      </w:r>
    </w:p>
    <w:p w14:paraId="79311FD3" w14:textId="77777777" w:rsidR="00244DCD" w:rsidRPr="00772C86" w:rsidRDefault="00244DCD" w:rsidP="00244DCD">
      <w:r w:rsidRPr="00772C86">
        <w:t>Al termine del corso lo studente:</w:t>
      </w:r>
    </w:p>
    <w:p w14:paraId="6C9EE85F" w14:textId="77777777" w:rsidR="00244DCD" w:rsidRPr="00772C86" w:rsidRDefault="007E2807" w:rsidP="006D612C">
      <w:pPr>
        <w:pStyle w:val="Paragrafoelenco"/>
        <w:numPr>
          <w:ilvl w:val="0"/>
          <w:numId w:val="1"/>
        </w:numPr>
        <w:ind w:left="284" w:hanging="284"/>
        <w:rPr>
          <w:rFonts w:ascii="Times Roman" w:hAnsi="Times Roman"/>
          <w:szCs w:val="18"/>
        </w:rPr>
      </w:pPr>
      <w:r w:rsidRPr="00772C86">
        <w:rPr>
          <w:rFonts w:ascii="Times Roman" w:hAnsi="Times Roman"/>
          <w:szCs w:val="18"/>
        </w:rPr>
        <w:t>conoscerà</w:t>
      </w:r>
      <w:r w:rsidR="00244DCD" w:rsidRPr="00772C86">
        <w:rPr>
          <w:rFonts w:ascii="Times Roman" w:hAnsi="Times Roman"/>
          <w:szCs w:val="18"/>
        </w:rPr>
        <w:t xml:space="preserve"> i meccanismi di funzionamento </w:t>
      </w:r>
      <w:r w:rsidR="00DA4CAD" w:rsidRPr="00772C86">
        <w:rPr>
          <w:rFonts w:ascii="Times Roman" w:hAnsi="Times Roman"/>
          <w:szCs w:val="18"/>
        </w:rPr>
        <w:t xml:space="preserve">e le dinamiche evolutive </w:t>
      </w:r>
      <w:r w:rsidR="00244DCD" w:rsidRPr="00772C86">
        <w:rPr>
          <w:rFonts w:ascii="Times Roman" w:hAnsi="Times Roman"/>
          <w:szCs w:val="18"/>
        </w:rPr>
        <w:t>del sistema finanziario</w:t>
      </w:r>
      <w:r w:rsidRPr="00772C86">
        <w:rPr>
          <w:rFonts w:ascii="Times Roman" w:hAnsi="Times Roman"/>
          <w:szCs w:val="18"/>
        </w:rPr>
        <w:t xml:space="preserve">, </w:t>
      </w:r>
      <w:r w:rsidR="00244DCD" w:rsidRPr="00772C86">
        <w:rPr>
          <w:rFonts w:ascii="Times Roman" w:hAnsi="Times Roman"/>
          <w:szCs w:val="18"/>
        </w:rPr>
        <w:t>i principali attori che in esso vi operano (autorità di vigilanza, intermediari e mercati finanziari)</w:t>
      </w:r>
      <w:r w:rsidRPr="00772C86">
        <w:rPr>
          <w:rFonts w:ascii="Times Roman" w:hAnsi="Times Roman"/>
          <w:szCs w:val="18"/>
        </w:rPr>
        <w:t>, nonché le caratteristiche tecnico-economiche dell’operatività bancaria</w:t>
      </w:r>
      <w:r w:rsidR="00244DCD" w:rsidRPr="00772C86">
        <w:rPr>
          <w:rFonts w:ascii="Times Roman" w:hAnsi="Times Roman"/>
          <w:szCs w:val="18"/>
        </w:rPr>
        <w:t>;</w:t>
      </w:r>
    </w:p>
    <w:p w14:paraId="27457521" w14:textId="77777777" w:rsidR="00244DCD" w:rsidRPr="00772C86" w:rsidRDefault="00244DCD" w:rsidP="006D612C">
      <w:pPr>
        <w:pStyle w:val="Paragrafoelenco"/>
        <w:numPr>
          <w:ilvl w:val="0"/>
          <w:numId w:val="1"/>
        </w:numPr>
        <w:ind w:left="284" w:hanging="284"/>
        <w:rPr>
          <w:rFonts w:ascii="Times Roman" w:hAnsi="Times Roman"/>
          <w:szCs w:val="18"/>
        </w:rPr>
      </w:pPr>
      <w:r w:rsidRPr="00772C86">
        <w:rPr>
          <w:rFonts w:ascii="Times Roman" w:hAnsi="Times Roman"/>
          <w:szCs w:val="18"/>
        </w:rPr>
        <w:t>sarà in grado di valutare le principali dinamiche che contraddistinguono gli assetti organizzativi e l’operatività degli intermediari finanziari</w:t>
      </w:r>
      <w:r w:rsidR="00DA4CAD" w:rsidRPr="00772C86">
        <w:rPr>
          <w:rFonts w:ascii="Times Roman" w:hAnsi="Times Roman"/>
          <w:szCs w:val="18"/>
        </w:rPr>
        <w:t>,</w:t>
      </w:r>
      <w:r w:rsidRPr="00772C86">
        <w:rPr>
          <w:rFonts w:ascii="Times Roman" w:hAnsi="Times Roman"/>
          <w:szCs w:val="18"/>
        </w:rPr>
        <w:t xml:space="preserve"> e</w:t>
      </w:r>
      <w:r w:rsidR="00DA4CAD" w:rsidRPr="00772C86">
        <w:rPr>
          <w:rFonts w:ascii="Times Roman" w:hAnsi="Times Roman"/>
          <w:szCs w:val="18"/>
        </w:rPr>
        <w:t xml:space="preserve"> più in dettaglio</w:t>
      </w:r>
      <w:r w:rsidRPr="00772C86">
        <w:rPr>
          <w:rFonts w:ascii="Times Roman" w:hAnsi="Times Roman"/>
          <w:szCs w:val="18"/>
        </w:rPr>
        <w:t xml:space="preserve"> delle banche</w:t>
      </w:r>
      <w:r w:rsidR="007E2807" w:rsidRPr="00772C86">
        <w:rPr>
          <w:rFonts w:ascii="Times Roman" w:hAnsi="Times Roman"/>
          <w:szCs w:val="18"/>
        </w:rPr>
        <w:t>, nonché</w:t>
      </w:r>
      <w:r w:rsidR="00660B63" w:rsidRPr="00772C86">
        <w:rPr>
          <w:rFonts w:ascii="Times Roman" w:hAnsi="Times Roman"/>
          <w:szCs w:val="18"/>
        </w:rPr>
        <w:t xml:space="preserve"> le opportunità di utilizzo de</w:t>
      </w:r>
      <w:r w:rsidR="007E2807" w:rsidRPr="00772C86">
        <w:rPr>
          <w:rFonts w:ascii="Times Roman" w:hAnsi="Times Roman"/>
          <w:szCs w:val="18"/>
        </w:rPr>
        <w:t>i prodotti e servizi bancari</w:t>
      </w:r>
      <w:r w:rsidRPr="00772C86">
        <w:rPr>
          <w:rFonts w:ascii="Times Roman" w:hAnsi="Times Roman"/>
          <w:szCs w:val="18"/>
        </w:rPr>
        <w:t>;</w:t>
      </w:r>
    </w:p>
    <w:p w14:paraId="2EAB4D21" w14:textId="77777777" w:rsidR="00DA4CAD" w:rsidRPr="00772C86" w:rsidRDefault="00DA4CAD" w:rsidP="006D612C">
      <w:pPr>
        <w:pStyle w:val="Paragrafoelenco"/>
        <w:numPr>
          <w:ilvl w:val="0"/>
          <w:numId w:val="1"/>
        </w:numPr>
        <w:ind w:left="284" w:hanging="284"/>
        <w:rPr>
          <w:rFonts w:ascii="Times Roman" w:hAnsi="Times Roman"/>
          <w:szCs w:val="18"/>
        </w:rPr>
      </w:pPr>
      <w:r w:rsidRPr="00772C86">
        <w:rPr>
          <w:rFonts w:ascii="Times Roman" w:hAnsi="Times Roman"/>
          <w:szCs w:val="18"/>
        </w:rPr>
        <w:t>avrà sviluppato competenze utili per interpretare i principali accadimenti che interessano il sistema finanziario e le sue principali componenti, anche attraverso l’analisi dei documenti informativi inerenti la gestione e l’offerta bancaria;</w:t>
      </w:r>
    </w:p>
    <w:p w14:paraId="7CBAB22B" w14:textId="77777777" w:rsidR="00244DCD" w:rsidRPr="00772C86" w:rsidRDefault="00244DCD" w:rsidP="006D612C">
      <w:pPr>
        <w:pStyle w:val="Paragrafoelenco"/>
        <w:numPr>
          <w:ilvl w:val="0"/>
          <w:numId w:val="1"/>
        </w:numPr>
        <w:ind w:left="284" w:hanging="284"/>
        <w:rPr>
          <w:rFonts w:ascii="Times Roman" w:hAnsi="Times Roman"/>
          <w:szCs w:val="18"/>
        </w:rPr>
      </w:pPr>
      <w:r w:rsidRPr="00772C86">
        <w:rPr>
          <w:rFonts w:ascii="Times Roman" w:hAnsi="Times Roman"/>
          <w:szCs w:val="18"/>
        </w:rPr>
        <w:t>avrà acquisito un linguaggio tecnico appropriato che gli consenta di comunicare con chiarezza ed efficacia le conoscenze acquisite;</w:t>
      </w:r>
    </w:p>
    <w:p w14:paraId="21520AE4" w14:textId="77777777" w:rsidR="00244DCD" w:rsidRPr="00772C86" w:rsidRDefault="00244DCD" w:rsidP="006D612C">
      <w:pPr>
        <w:pStyle w:val="Paragrafoelenco"/>
        <w:numPr>
          <w:ilvl w:val="0"/>
          <w:numId w:val="1"/>
        </w:numPr>
        <w:ind w:left="284" w:hanging="284"/>
        <w:rPr>
          <w:rFonts w:ascii="Times Roman" w:hAnsi="Times Roman"/>
          <w:szCs w:val="18"/>
        </w:rPr>
      </w:pPr>
      <w:r w:rsidRPr="00772C86">
        <w:rPr>
          <w:rFonts w:ascii="Times Roman" w:hAnsi="Times Roman"/>
          <w:szCs w:val="18"/>
        </w:rPr>
        <w:t>avrà potenziato le sue capacità di apprendimento in modo da consentirgli di intraprendere con maggiore autonomia studi successivi di livello più approfondito</w:t>
      </w:r>
      <w:r w:rsidR="00DA4CAD" w:rsidRPr="00772C86">
        <w:rPr>
          <w:rFonts w:ascii="Times Roman" w:hAnsi="Times Roman"/>
          <w:szCs w:val="18"/>
        </w:rPr>
        <w:t xml:space="preserve"> in ambito finanziario</w:t>
      </w:r>
      <w:r w:rsidRPr="00772C86">
        <w:rPr>
          <w:rFonts w:ascii="Times Roman" w:hAnsi="Times Roman"/>
          <w:szCs w:val="18"/>
        </w:rPr>
        <w:t>.</w:t>
      </w:r>
    </w:p>
    <w:p w14:paraId="63789CA0" w14:textId="77777777" w:rsidR="00244DCD" w:rsidRPr="00D96D8D" w:rsidRDefault="00244DCD" w:rsidP="00244DCD">
      <w:pPr>
        <w:spacing w:before="240" w:after="120"/>
        <w:rPr>
          <w:b/>
          <w:sz w:val="18"/>
        </w:rPr>
      </w:pPr>
      <w:r w:rsidRPr="00D96D8D">
        <w:rPr>
          <w:b/>
          <w:i/>
          <w:sz w:val="18"/>
        </w:rPr>
        <w:t>PROGRAMMA DEL CORSO</w:t>
      </w:r>
    </w:p>
    <w:p w14:paraId="251D9120" w14:textId="77777777" w:rsidR="00244DCD" w:rsidRPr="00D96D8D" w:rsidRDefault="00244DCD" w:rsidP="006D612C">
      <w:pPr>
        <w:pStyle w:val="Paragrafoelenco"/>
        <w:numPr>
          <w:ilvl w:val="0"/>
          <w:numId w:val="2"/>
        </w:numPr>
        <w:tabs>
          <w:tab w:val="clear" w:pos="284"/>
        </w:tabs>
        <w:rPr>
          <w:rFonts w:ascii="Times Roman" w:hAnsi="Times Roman"/>
          <w:i/>
          <w:szCs w:val="18"/>
        </w:rPr>
      </w:pPr>
      <w:r w:rsidRPr="00D96D8D">
        <w:rPr>
          <w:rFonts w:ascii="Times Roman" w:hAnsi="Times Roman"/>
          <w:i/>
          <w:szCs w:val="18"/>
        </w:rPr>
        <w:t>Struttura ed evoluzione del sistema finanziario</w:t>
      </w:r>
    </w:p>
    <w:p w14:paraId="7A553AC9" w14:textId="73AF8B75" w:rsidR="00244DCD" w:rsidRPr="00772C86" w:rsidRDefault="00244DCD" w:rsidP="006D612C">
      <w:pPr>
        <w:pStyle w:val="Paragrafoelenco"/>
        <w:numPr>
          <w:ilvl w:val="1"/>
          <w:numId w:val="2"/>
        </w:numPr>
        <w:tabs>
          <w:tab w:val="clear" w:pos="284"/>
        </w:tabs>
        <w:rPr>
          <w:rFonts w:ascii="Times Roman" w:hAnsi="Times Roman"/>
          <w:szCs w:val="18"/>
        </w:rPr>
      </w:pPr>
      <w:r w:rsidRPr="00772C86">
        <w:rPr>
          <w:rFonts w:ascii="Times Roman" w:hAnsi="Times Roman"/>
          <w:szCs w:val="18"/>
        </w:rPr>
        <w:t>Fondamenti del sistema finanziario.</w:t>
      </w:r>
    </w:p>
    <w:p w14:paraId="32BD19C5" w14:textId="77777777" w:rsidR="00244DCD" w:rsidRPr="00772C86" w:rsidRDefault="00244DCD" w:rsidP="006D612C">
      <w:pPr>
        <w:pStyle w:val="Paragrafoelenco"/>
        <w:numPr>
          <w:ilvl w:val="1"/>
          <w:numId w:val="2"/>
        </w:numPr>
        <w:tabs>
          <w:tab w:val="clear" w:pos="284"/>
        </w:tabs>
        <w:rPr>
          <w:rFonts w:ascii="Times Roman" w:hAnsi="Times Roman"/>
          <w:szCs w:val="18"/>
        </w:rPr>
      </w:pPr>
      <w:r w:rsidRPr="00772C86">
        <w:rPr>
          <w:rFonts w:ascii="Times Roman" w:hAnsi="Times Roman"/>
          <w:szCs w:val="18"/>
        </w:rPr>
        <w:t>Lineamenti teorici dell’intermediazione finanziaria e principali tipologie di intermediari.</w:t>
      </w:r>
    </w:p>
    <w:p w14:paraId="348D7E08" w14:textId="08D52315" w:rsidR="00244DCD" w:rsidRPr="00772C86" w:rsidRDefault="00D72103" w:rsidP="006D612C">
      <w:pPr>
        <w:pStyle w:val="Paragrafoelenco"/>
        <w:numPr>
          <w:ilvl w:val="0"/>
          <w:numId w:val="2"/>
        </w:numPr>
        <w:tabs>
          <w:tab w:val="clear" w:pos="284"/>
        </w:tabs>
        <w:spacing w:before="120"/>
        <w:rPr>
          <w:rFonts w:ascii="Times Roman" w:hAnsi="Times Roman"/>
          <w:i/>
          <w:szCs w:val="18"/>
        </w:rPr>
      </w:pPr>
      <w:r>
        <w:rPr>
          <w:rFonts w:ascii="Times Roman" w:hAnsi="Times Roman"/>
          <w:i/>
          <w:szCs w:val="18"/>
        </w:rPr>
        <w:t>Le fu</w:t>
      </w:r>
      <w:r w:rsidR="00244DCD" w:rsidRPr="00772C86">
        <w:rPr>
          <w:rFonts w:ascii="Times Roman" w:hAnsi="Times Roman"/>
          <w:i/>
          <w:szCs w:val="18"/>
        </w:rPr>
        <w:t xml:space="preserve">nzioni </w:t>
      </w:r>
      <w:r>
        <w:rPr>
          <w:rFonts w:ascii="Times Roman" w:hAnsi="Times Roman"/>
          <w:i/>
          <w:szCs w:val="18"/>
        </w:rPr>
        <w:t>del sistema finanziario</w:t>
      </w:r>
    </w:p>
    <w:p w14:paraId="3328BB25" w14:textId="77777777" w:rsidR="00244DCD" w:rsidRPr="00772C86" w:rsidRDefault="00244DCD" w:rsidP="006D612C">
      <w:pPr>
        <w:pStyle w:val="Paragrafoelenco"/>
        <w:numPr>
          <w:ilvl w:val="1"/>
          <w:numId w:val="2"/>
        </w:numPr>
        <w:tabs>
          <w:tab w:val="clear" w:pos="284"/>
        </w:tabs>
        <w:rPr>
          <w:rFonts w:ascii="Times Roman" w:hAnsi="Times Roman"/>
          <w:szCs w:val="18"/>
        </w:rPr>
      </w:pPr>
      <w:r w:rsidRPr="00772C86">
        <w:rPr>
          <w:rFonts w:ascii="Times Roman" w:hAnsi="Times Roman"/>
          <w:szCs w:val="18"/>
        </w:rPr>
        <w:t>La funzione monetaria: la moneta bancaria ed i sistemi di regolamento dei pagamenti.</w:t>
      </w:r>
    </w:p>
    <w:p w14:paraId="3CA043CC" w14:textId="77777777" w:rsidR="00244DCD" w:rsidRPr="00772C86" w:rsidRDefault="00244DCD" w:rsidP="006D612C">
      <w:pPr>
        <w:pStyle w:val="Paragrafoelenco"/>
        <w:numPr>
          <w:ilvl w:val="1"/>
          <w:numId w:val="2"/>
        </w:numPr>
        <w:tabs>
          <w:tab w:val="clear" w:pos="284"/>
        </w:tabs>
        <w:rPr>
          <w:rFonts w:ascii="Times Roman" w:hAnsi="Times Roman"/>
          <w:szCs w:val="18"/>
        </w:rPr>
      </w:pPr>
      <w:r w:rsidRPr="00772C86">
        <w:rPr>
          <w:rFonts w:ascii="Times Roman" w:hAnsi="Times Roman"/>
          <w:szCs w:val="18"/>
        </w:rPr>
        <w:lastRenderedPageBreak/>
        <w:t>La funzione creditizia: credito e sviluppo economico, efficienza allocativa e valutazione del rischio di default.</w:t>
      </w:r>
    </w:p>
    <w:p w14:paraId="6B55BC47" w14:textId="77777777" w:rsidR="00244DCD" w:rsidRPr="00772C86" w:rsidRDefault="00244DCD" w:rsidP="006D612C">
      <w:pPr>
        <w:pStyle w:val="Paragrafoelenco"/>
        <w:numPr>
          <w:ilvl w:val="1"/>
          <w:numId w:val="2"/>
        </w:numPr>
        <w:tabs>
          <w:tab w:val="clear" w:pos="284"/>
        </w:tabs>
        <w:rPr>
          <w:rFonts w:ascii="Times Roman" w:hAnsi="Times Roman"/>
          <w:szCs w:val="18"/>
        </w:rPr>
      </w:pPr>
      <w:r w:rsidRPr="00772C86">
        <w:rPr>
          <w:rFonts w:ascii="Times Roman" w:hAnsi="Times Roman"/>
          <w:szCs w:val="18"/>
        </w:rPr>
        <w:t>La funzione di trasmissione degli impulsi di politica economica: le operazioni di politica monetaria.</w:t>
      </w:r>
    </w:p>
    <w:p w14:paraId="1E27FBDB" w14:textId="30E06453" w:rsidR="00D72103" w:rsidRPr="00D96D8D" w:rsidRDefault="00D72103" w:rsidP="006D612C">
      <w:pPr>
        <w:pStyle w:val="Paragrafoelenco"/>
        <w:numPr>
          <w:ilvl w:val="0"/>
          <w:numId w:val="2"/>
        </w:numPr>
        <w:tabs>
          <w:tab w:val="clear" w:pos="284"/>
        </w:tabs>
        <w:spacing w:before="120"/>
        <w:rPr>
          <w:rFonts w:ascii="Times Roman" w:hAnsi="Times Roman"/>
          <w:i/>
          <w:szCs w:val="18"/>
        </w:rPr>
      </w:pPr>
      <w:r w:rsidRPr="00D96D8D">
        <w:rPr>
          <w:rFonts w:ascii="Times Roman" w:hAnsi="Times Roman"/>
          <w:i/>
          <w:szCs w:val="18"/>
        </w:rPr>
        <w:t>I rischi dell’attività di intermediazione finanziaria</w:t>
      </w:r>
    </w:p>
    <w:p w14:paraId="690B19A7" w14:textId="6C5C55BB" w:rsidR="00BE1C01" w:rsidRPr="00D96D8D" w:rsidRDefault="00BE1C01" w:rsidP="00BE1C01">
      <w:pPr>
        <w:pStyle w:val="Paragrafoelenco"/>
        <w:numPr>
          <w:ilvl w:val="1"/>
          <w:numId w:val="2"/>
        </w:numPr>
        <w:tabs>
          <w:tab w:val="clear" w:pos="284"/>
        </w:tabs>
        <w:spacing w:before="120"/>
        <w:rPr>
          <w:rFonts w:ascii="Times Roman" w:hAnsi="Times Roman"/>
          <w:szCs w:val="18"/>
        </w:rPr>
      </w:pPr>
      <w:r w:rsidRPr="00D96D8D">
        <w:rPr>
          <w:rFonts w:ascii="Times Roman" w:hAnsi="Times Roman"/>
          <w:szCs w:val="18"/>
        </w:rPr>
        <w:t>Tassonomia dei rischi</w:t>
      </w:r>
      <w:r w:rsidR="00070379" w:rsidRPr="00D96D8D">
        <w:rPr>
          <w:rFonts w:ascii="Times Roman" w:hAnsi="Times Roman"/>
          <w:szCs w:val="18"/>
        </w:rPr>
        <w:t>.</w:t>
      </w:r>
    </w:p>
    <w:p w14:paraId="21695A3B" w14:textId="35039A2A" w:rsidR="00BE1C01" w:rsidRPr="00D96D8D" w:rsidRDefault="00BE1C01" w:rsidP="00BE1C01">
      <w:pPr>
        <w:pStyle w:val="Paragrafoelenco"/>
        <w:numPr>
          <w:ilvl w:val="1"/>
          <w:numId w:val="2"/>
        </w:numPr>
        <w:tabs>
          <w:tab w:val="clear" w:pos="284"/>
        </w:tabs>
        <w:spacing w:before="120"/>
        <w:rPr>
          <w:rFonts w:ascii="Times Roman" w:hAnsi="Times Roman"/>
          <w:szCs w:val="18"/>
        </w:rPr>
      </w:pPr>
      <w:r w:rsidRPr="00D96D8D">
        <w:rPr>
          <w:rFonts w:ascii="Times Roman" w:hAnsi="Times Roman"/>
          <w:szCs w:val="18"/>
        </w:rPr>
        <w:t>La gestione dei rischi</w:t>
      </w:r>
      <w:r w:rsidR="00070379" w:rsidRPr="00D96D8D">
        <w:rPr>
          <w:rFonts w:ascii="Times Roman" w:hAnsi="Times Roman"/>
          <w:szCs w:val="18"/>
        </w:rPr>
        <w:t>.</w:t>
      </w:r>
    </w:p>
    <w:p w14:paraId="2B7580EC" w14:textId="6A9B6001" w:rsidR="00D72103" w:rsidRPr="00D96D8D" w:rsidRDefault="00D72103" w:rsidP="006D612C">
      <w:pPr>
        <w:pStyle w:val="Paragrafoelenco"/>
        <w:numPr>
          <w:ilvl w:val="0"/>
          <w:numId w:val="2"/>
        </w:numPr>
        <w:tabs>
          <w:tab w:val="clear" w:pos="284"/>
        </w:tabs>
        <w:spacing w:before="120"/>
        <w:rPr>
          <w:rFonts w:ascii="Times Roman" w:hAnsi="Times Roman"/>
          <w:i/>
          <w:szCs w:val="18"/>
        </w:rPr>
      </w:pPr>
      <w:r w:rsidRPr="00D96D8D">
        <w:rPr>
          <w:rFonts w:ascii="Times Roman" w:hAnsi="Times Roman"/>
          <w:i/>
          <w:szCs w:val="18"/>
        </w:rPr>
        <w:t>Regolamentazione e vigilanza sul sistema bancario</w:t>
      </w:r>
    </w:p>
    <w:p w14:paraId="6B977FDD" w14:textId="663E12AD" w:rsidR="00BE1C01" w:rsidRPr="00D96D8D" w:rsidRDefault="0010626E" w:rsidP="0010626E">
      <w:pPr>
        <w:pStyle w:val="Paragrafoelenco"/>
        <w:numPr>
          <w:ilvl w:val="1"/>
          <w:numId w:val="2"/>
        </w:numPr>
        <w:tabs>
          <w:tab w:val="clear" w:pos="284"/>
        </w:tabs>
        <w:spacing w:before="120"/>
        <w:rPr>
          <w:rFonts w:ascii="Times Roman" w:hAnsi="Times Roman"/>
          <w:szCs w:val="18"/>
        </w:rPr>
      </w:pPr>
      <w:r w:rsidRPr="00D96D8D">
        <w:rPr>
          <w:rFonts w:ascii="Times Roman" w:hAnsi="Times Roman"/>
          <w:szCs w:val="18"/>
        </w:rPr>
        <w:t>Le ragioni della regolamentazione dell’attività finanziaria</w:t>
      </w:r>
      <w:r w:rsidR="00070379" w:rsidRPr="00D96D8D">
        <w:rPr>
          <w:rFonts w:ascii="Times Roman" w:hAnsi="Times Roman"/>
          <w:szCs w:val="18"/>
        </w:rPr>
        <w:t>.</w:t>
      </w:r>
    </w:p>
    <w:p w14:paraId="3B210D4C" w14:textId="765F5362" w:rsidR="0010626E" w:rsidRPr="00D96D8D" w:rsidRDefault="0010626E" w:rsidP="0010626E">
      <w:pPr>
        <w:pStyle w:val="Paragrafoelenco"/>
        <w:numPr>
          <w:ilvl w:val="1"/>
          <w:numId w:val="2"/>
        </w:numPr>
        <w:tabs>
          <w:tab w:val="clear" w:pos="284"/>
        </w:tabs>
        <w:spacing w:before="120"/>
        <w:rPr>
          <w:rFonts w:ascii="Times Roman" w:hAnsi="Times Roman"/>
          <w:szCs w:val="18"/>
        </w:rPr>
      </w:pPr>
      <w:r w:rsidRPr="00D96D8D">
        <w:rPr>
          <w:rFonts w:ascii="Times Roman" w:hAnsi="Times Roman"/>
          <w:szCs w:val="18"/>
        </w:rPr>
        <w:t>L’Unione Bancaria Europea</w:t>
      </w:r>
      <w:r w:rsidR="00070379" w:rsidRPr="00D96D8D">
        <w:rPr>
          <w:rFonts w:ascii="Times Roman" w:hAnsi="Times Roman"/>
          <w:szCs w:val="18"/>
        </w:rPr>
        <w:t>.</w:t>
      </w:r>
    </w:p>
    <w:p w14:paraId="30A1D3CD" w14:textId="420EBCF4" w:rsidR="0010626E" w:rsidRPr="00D96D8D" w:rsidRDefault="0010626E" w:rsidP="0010626E">
      <w:pPr>
        <w:pStyle w:val="Paragrafoelenco"/>
        <w:numPr>
          <w:ilvl w:val="1"/>
          <w:numId w:val="2"/>
        </w:numPr>
        <w:tabs>
          <w:tab w:val="clear" w:pos="284"/>
        </w:tabs>
        <w:spacing w:before="120"/>
        <w:rPr>
          <w:rFonts w:ascii="Times Roman" w:hAnsi="Times Roman"/>
          <w:szCs w:val="18"/>
        </w:rPr>
      </w:pPr>
      <w:r w:rsidRPr="00D96D8D">
        <w:rPr>
          <w:rFonts w:ascii="Times Roman" w:hAnsi="Times Roman"/>
          <w:szCs w:val="18"/>
        </w:rPr>
        <w:t>I principali controlli di vigilanza sulle banche</w:t>
      </w:r>
      <w:r w:rsidR="00070379" w:rsidRPr="00D96D8D">
        <w:rPr>
          <w:rFonts w:ascii="Times Roman" w:hAnsi="Times Roman"/>
          <w:szCs w:val="18"/>
        </w:rPr>
        <w:t>.</w:t>
      </w:r>
    </w:p>
    <w:p w14:paraId="5324E175" w14:textId="3085F580" w:rsidR="00244DCD" w:rsidRPr="00772C86" w:rsidRDefault="00244DCD" w:rsidP="006D612C">
      <w:pPr>
        <w:pStyle w:val="Paragrafoelenco"/>
        <w:numPr>
          <w:ilvl w:val="0"/>
          <w:numId w:val="2"/>
        </w:numPr>
        <w:tabs>
          <w:tab w:val="clear" w:pos="284"/>
        </w:tabs>
        <w:spacing w:before="120"/>
        <w:rPr>
          <w:rFonts w:ascii="Times Roman" w:hAnsi="Times Roman"/>
          <w:i/>
          <w:szCs w:val="18"/>
        </w:rPr>
      </w:pPr>
      <w:r w:rsidRPr="00772C86">
        <w:rPr>
          <w:rFonts w:ascii="Times Roman" w:hAnsi="Times Roman"/>
          <w:i/>
          <w:szCs w:val="18"/>
        </w:rPr>
        <w:t>Organizzazione e gestione della banca</w:t>
      </w:r>
    </w:p>
    <w:p w14:paraId="48EA3479" w14:textId="77777777" w:rsidR="00244DCD" w:rsidRPr="00772C86" w:rsidRDefault="00244DCD" w:rsidP="006D612C">
      <w:pPr>
        <w:pStyle w:val="Paragrafoelenco"/>
        <w:numPr>
          <w:ilvl w:val="1"/>
          <w:numId w:val="2"/>
        </w:numPr>
        <w:tabs>
          <w:tab w:val="clear" w:pos="284"/>
        </w:tabs>
        <w:rPr>
          <w:rFonts w:ascii="Times Roman" w:hAnsi="Times Roman"/>
          <w:szCs w:val="18"/>
        </w:rPr>
      </w:pPr>
      <w:r w:rsidRPr="00772C86">
        <w:rPr>
          <w:rFonts w:ascii="Times Roman" w:hAnsi="Times Roman"/>
          <w:szCs w:val="18"/>
        </w:rPr>
        <w:t>I principali modelli organizzativi.</w:t>
      </w:r>
    </w:p>
    <w:p w14:paraId="5BEBE02B" w14:textId="56DA56B5" w:rsidR="00244DCD" w:rsidRDefault="00244DCD" w:rsidP="006D612C">
      <w:pPr>
        <w:pStyle w:val="Paragrafoelenco"/>
        <w:numPr>
          <w:ilvl w:val="1"/>
          <w:numId w:val="2"/>
        </w:numPr>
        <w:tabs>
          <w:tab w:val="clear" w:pos="284"/>
        </w:tabs>
        <w:rPr>
          <w:rFonts w:ascii="Times Roman" w:hAnsi="Times Roman"/>
          <w:szCs w:val="18"/>
        </w:rPr>
      </w:pPr>
      <w:r w:rsidRPr="00772C86">
        <w:rPr>
          <w:rFonts w:ascii="Times Roman" w:hAnsi="Times Roman"/>
          <w:szCs w:val="18"/>
        </w:rPr>
        <w:t>Le principali aree di gestione: prestiti, raccolta, liquidità e tesoreria, portafoglio di strumenti finanziari.</w:t>
      </w:r>
    </w:p>
    <w:p w14:paraId="113D3174" w14:textId="342ABD68" w:rsidR="00D96D8D" w:rsidRPr="00772C86" w:rsidRDefault="00D96D8D" w:rsidP="006D612C">
      <w:pPr>
        <w:pStyle w:val="Paragrafoelenco"/>
        <w:numPr>
          <w:ilvl w:val="1"/>
          <w:numId w:val="2"/>
        </w:numPr>
        <w:tabs>
          <w:tab w:val="clear" w:pos="284"/>
        </w:tabs>
        <w:rPr>
          <w:rFonts w:ascii="Times Roman" w:hAnsi="Times Roman"/>
          <w:szCs w:val="18"/>
        </w:rPr>
      </w:pPr>
      <w:r w:rsidRPr="00772C86">
        <w:rPr>
          <w:rFonts w:ascii="Times Roman" w:hAnsi="Times Roman"/>
          <w:szCs w:val="18"/>
        </w:rPr>
        <w:t>Il bilancio bancario e i principali indicatori di performance della banca.</w:t>
      </w:r>
    </w:p>
    <w:p w14:paraId="7E418B99" w14:textId="13DDD29A" w:rsidR="00244DCD" w:rsidRPr="00772C86" w:rsidRDefault="00D96D8D" w:rsidP="00D96D8D">
      <w:pPr>
        <w:pStyle w:val="Paragrafoelenco"/>
        <w:numPr>
          <w:ilvl w:val="0"/>
          <w:numId w:val="2"/>
        </w:numPr>
        <w:tabs>
          <w:tab w:val="clear" w:pos="284"/>
        </w:tabs>
        <w:spacing w:before="120"/>
        <w:rPr>
          <w:rFonts w:ascii="Times Roman" w:hAnsi="Times Roman"/>
          <w:i/>
          <w:szCs w:val="18"/>
        </w:rPr>
      </w:pPr>
      <w:r>
        <w:rPr>
          <w:rFonts w:ascii="Times Roman" w:hAnsi="Times Roman"/>
          <w:szCs w:val="18"/>
        </w:rPr>
        <w:t>L’o</w:t>
      </w:r>
      <w:r w:rsidR="00244DCD" w:rsidRPr="00772C86">
        <w:rPr>
          <w:rFonts w:ascii="Times Roman" w:hAnsi="Times Roman"/>
          <w:i/>
          <w:szCs w:val="18"/>
        </w:rPr>
        <w:t>peratività delle banche</w:t>
      </w:r>
    </w:p>
    <w:p w14:paraId="7D8A5091" w14:textId="3FE5117F" w:rsidR="00D96D8D" w:rsidRDefault="00244DCD" w:rsidP="006D612C">
      <w:pPr>
        <w:pStyle w:val="Paragrafoelenco"/>
        <w:numPr>
          <w:ilvl w:val="1"/>
          <w:numId w:val="2"/>
        </w:numPr>
        <w:tabs>
          <w:tab w:val="clear" w:pos="284"/>
        </w:tabs>
        <w:rPr>
          <w:rFonts w:ascii="Times Roman" w:hAnsi="Times Roman"/>
          <w:szCs w:val="18"/>
        </w:rPr>
      </w:pPr>
      <w:r w:rsidRPr="00772C86">
        <w:rPr>
          <w:rFonts w:ascii="Times Roman" w:hAnsi="Times Roman"/>
          <w:szCs w:val="18"/>
        </w:rPr>
        <w:t>La raccolta al dettaglio e all’ingrosso</w:t>
      </w:r>
      <w:r w:rsidR="00D96D8D">
        <w:rPr>
          <w:rFonts w:ascii="Times Roman" w:hAnsi="Times Roman"/>
          <w:szCs w:val="18"/>
        </w:rPr>
        <w:t>.</w:t>
      </w:r>
      <w:r w:rsidR="00D96D8D" w:rsidRPr="00772C86">
        <w:rPr>
          <w:rFonts w:ascii="Times Roman" w:hAnsi="Times Roman"/>
          <w:szCs w:val="18"/>
        </w:rPr>
        <w:t xml:space="preserve"> </w:t>
      </w:r>
    </w:p>
    <w:p w14:paraId="38FAD626" w14:textId="28666090" w:rsidR="00D96D8D" w:rsidRDefault="00D96D8D" w:rsidP="006D612C">
      <w:pPr>
        <w:pStyle w:val="Paragrafoelenco"/>
        <w:numPr>
          <w:ilvl w:val="1"/>
          <w:numId w:val="2"/>
        </w:numPr>
        <w:tabs>
          <w:tab w:val="clear" w:pos="284"/>
        </w:tabs>
        <w:rPr>
          <w:rFonts w:ascii="Times Roman" w:hAnsi="Times Roman"/>
          <w:szCs w:val="18"/>
        </w:rPr>
      </w:pPr>
      <w:r>
        <w:rPr>
          <w:rFonts w:ascii="Times Roman" w:hAnsi="Times Roman"/>
          <w:szCs w:val="18"/>
        </w:rPr>
        <w:t>I</w:t>
      </w:r>
      <w:r w:rsidRPr="00772C86">
        <w:rPr>
          <w:rFonts w:ascii="Times Roman" w:hAnsi="Times Roman"/>
          <w:szCs w:val="18"/>
        </w:rPr>
        <w:t xml:space="preserve"> </w:t>
      </w:r>
      <w:r w:rsidR="00244DCD" w:rsidRPr="00772C86">
        <w:rPr>
          <w:rFonts w:ascii="Times Roman" w:hAnsi="Times Roman"/>
          <w:szCs w:val="18"/>
        </w:rPr>
        <w:t>prestiti bancari</w:t>
      </w:r>
      <w:r>
        <w:rPr>
          <w:rFonts w:ascii="Times Roman" w:hAnsi="Times Roman"/>
          <w:szCs w:val="18"/>
        </w:rPr>
        <w:t>.</w:t>
      </w:r>
      <w:r w:rsidR="00244DCD" w:rsidRPr="00772C86">
        <w:rPr>
          <w:rFonts w:ascii="Times Roman" w:hAnsi="Times Roman"/>
          <w:szCs w:val="18"/>
        </w:rPr>
        <w:t xml:space="preserve"> </w:t>
      </w:r>
    </w:p>
    <w:p w14:paraId="33956418" w14:textId="7E7AD33C" w:rsidR="00244DCD" w:rsidRPr="00772C86" w:rsidRDefault="00D96D8D" w:rsidP="006D612C">
      <w:pPr>
        <w:pStyle w:val="Paragrafoelenco"/>
        <w:numPr>
          <w:ilvl w:val="1"/>
          <w:numId w:val="2"/>
        </w:numPr>
        <w:tabs>
          <w:tab w:val="clear" w:pos="284"/>
        </w:tabs>
        <w:rPr>
          <w:rFonts w:ascii="Times Roman" w:hAnsi="Times Roman"/>
          <w:szCs w:val="18"/>
        </w:rPr>
      </w:pPr>
      <w:r>
        <w:rPr>
          <w:rFonts w:ascii="Times Roman" w:hAnsi="Times Roman"/>
          <w:szCs w:val="18"/>
        </w:rPr>
        <w:t>I</w:t>
      </w:r>
      <w:r w:rsidRPr="00772C86">
        <w:rPr>
          <w:rFonts w:ascii="Times Roman" w:hAnsi="Times Roman"/>
          <w:szCs w:val="18"/>
        </w:rPr>
        <w:t xml:space="preserve"> </w:t>
      </w:r>
      <w:r w:rsidR="00244DCD" w:rsidRPr="00772C86">
        <w:rPr>
          <w:rFonts w:ascii="Times Roman" w:hAnsi="Times Roman"/>
          <w:szCs w:val="18"/>
        </w:rPr>
        <w:t>servizi di pagamento</w:t>
      </w:r>
      <w:r>
        <w:rPr>
          <w:rFonts w:ascii="Times Roman" w:hAnsi="Times Roman"/>
          <w:szCs w:val="18"/>
        </w:rPr>
        <w:t xml:space="preserve"> e di investimento</w:t>
      </w:r>
      <w:r w:rsidR="00244DCD" w:rsidRPr="00772C86">
        <w:rPr>
          <w:rFonts w:ascii="Times Roman" w:hAnsi="Times Roman"/>
          <w:szCs w:val="18"/>
        </w:rPr>
        <w:t>.</w:t>
      </w:r>
    </w:p>
    <w:p w14:paraId="4689403E" w14:textId="77777777" w:rsidR="00244DCD" w:rsidRPr="00772C86" w:rsidRDefault="00244DCD" w:rsidP="006D612C">
      <w:pPr>
        <w:spacing w:before="240" w:after="120" w:line="220" w:lineRule="exact"/>
        <w:rPr>
          <w:b/>
          <w:i/>
          <w:sz w:val="18"/>
        </w:rPr>
      </w:pPr>
      <w:r w:rsidRPr="00772C86">
        <w:rPr>
          <w:b/>
          <w:i/>
          <w:sz w:val="18"/>
        </w:rPr>
        <w:t>BIBLIOGRAFIA</w:t>
      </w:r>
      <w:r w:rsidR="00256177" w:rsidRPr="00772C86">
        <w:rPr>
          <w:rStyle w:val="Rimandonotaapidipagina"/>
          <w:b/>
          <w:i/>
          <w:sz w:val="18"/>
        </w:rPr>
        <w:footnoteReference w:id="1"/>
      </w:r>
    </w:p>
    <w:p w14:paraId="1A7275E6" w14:textId="3618D33F" w:rsidR="00890FD5" w:rsidRPr="00772C86" w:rsidRDefault="00890FD5" w:rsidP="00890FD5">
      <w:pPr>
        <w:pStyle w:val="Testo1"/>
        <w:spacing w:before="0"/>
        <w:rPr>
          <w:szCs w:val="24"/>
        </w:rPr>
      </w:pPr>
      <w:r w:rsidRPr="00772C86">
        <w:rPr>
          <w:i/>
        </w:rPr>
        <w:t xml:space="preserve">Coursepack per il corso di Economia </w:t>
      </w:r>
      <w:r w:rsidR="00D96D8D">
        <w:rPr>
          <w:i/>
        </w:rPr>
        <w:t>e gestione della banca</w:t>
      </w:r>
      <w:r w:rsidRPr="00772C86">
        <w:t xml:space="preserve">, ISEDI, </w:t>
      </w:r>
      <w:r w:rsidR="00BE1C01" w:rsidRPr="00D96D8D">
        <w:t>2022</w:t>
      </w:r>
      <w:r w:rsidR="00741CAB" w:rsidRPr="00772C86">
        <w:t>.</w:t>
      </w:r>
      <w:r w:rsidR="0085567E">
        <w:t xml:space="preserve"> </w:t>
      </w:r>
      <w:hyperlink r:id="rId9" w:history="1">
        <w:r w:rsidR="0085567E" w:rsidRPr="0085567E">
          <w:rPr>
            <w:rStyle w:val="Collegamentoipertestuale"/>
            <w:rFonts w:ascii="Times New Roman" w:hAnsi="Times New Roman"/>
            <w:i/>
            <w:sz w:val="16"/>
            <w:szCs w:val="16"/>
          </w:rPr>
          <w:t>Acquista da VP</w:t>
        </w:r>
      </w:hyperlink>
      <w:bookmarkStart w:id="0" w:name="_GoBack"/>
      <w:bookmarkEnd w:id="0"/>
    </w:p>
    <w:p w14:paraId="3421B732" w14:textId="18DB6168" w:rsidR="00741CAB" w:rsidRPr="00772C86" w:rsidRDefault="00890FD5" w:rsidP="00982A03">
      <w:pPr>
        <w:pStyle w:val="Testo1"/>
        <w:spacing w:before="0"/>
      </w:pPr>
      <w:r w:rsidRPr="00772C86">
        <w:rPr>
          <w:smallCaps/>
          <w:sz w:val="16"/>
        </w:rPr>
        <w:t>M. Borroni-M. Oriani</w:t>
      </w:r>
      <w:r w:rsidRPr="00772C86">
        <w:t xml:space="preserve"> (a cura di), </w:t>
      </w:r>
      <w:r w:rsidRPr="00772C86">
        <w:rPr>
          <w:i/>
        </w:rPr>
        <w:t>Le operazioni bancarie</w:t>
      </w:r>
      <w:r w:rsidRPr="00772C86">
        <w:t>, Il Mulino, Bologna, ed. 2020</w:t>
      </w:r>
      <w:r w:rsidR="00FA6116" w:rsidRPr="00772C86">
        <w:t>, disponibile anche in formato e-book</w:t>
      </w:r>
      <w:r w:rsidR="00F65B17" w:rsidRPr="00772C86">
        <w:t>.</w:t>
      </w:r>
      <w:r w:rsidR="00982A03">
        <w:t xml:space="preserve"> </w:t>
      </w:r>
      <w:hyperlink r:id="rId10" w:history="1">
        <w:r w:rsidR="00982A03" w:rsidRPr="00772C86">
          <w:rPr>
            <w:rStyle w:val="Collegamentoipertestuale"/>
            <w:rFonts w:ascii="Times New Roman" w:hAnsi="Times New Roman"/>
            <w:i/>
            <w:sz w:val="16"/>
            <w:szCs w:val="16"/>
          </w:rPr>
          <w:t>Acquista da VP</w:t>
        </w:r>
      </w:hyperlink>
    </w:p>
    <w:p w14:paraId="0C7DCD50" w14:textId="77777777" w:rsidR="00741CAB" w:rsidRPr="00772C86" w:rsidRDefault="00741CAB" w:rsidP="00890FD5">
      <w:pPr>
        <w:pStyle w:val="Testo1"/>
        <w:spacing w:before="0"/>
      </w:pPr>
      <w:r w:rsidRPr="00772C86">
        <w:t>Ulteriori materiali di aggiornamento/approfondimento verranno resi disponibili dai docenti su Blackboard.</w:t>
      </w:r>
    </w:p>
    <w:p w14:paraId="513A28DD" w14:textId="30B0311D" w:rsidR="00741CAB" w:rsidRPr="00772C86" w:rsidRDefault="00741CAB" w:rsidP="00890FD5">
      <w:pPr>
        <w:pStyle w:val="Testo1"/>
        <w:spacing w:before="0"/>
      </w:pPr>
      <w:r w:rsidRPr="00772C86">
        <w:t>Entrambi i volumi sopraindicati e il materia</w:t>
      </w:r>
      <w:r w:rsidR="000C6777" w:rsidRPr="00772C86">
        <w:t>le</w:t>
      </w:r>
      <w:r w:rsidRPr="00772C86">
        <w:t xml:space="preserve"> di aggiornamento/approfondimento sono obbligatori</w:t>
      </w:r>
      <w:r w:rsidR="00031EE9" w:rsidRPr="00772C86">
        <w:t xml:space="preserve"> per la preparazione dell’esame</w:t>
      </w:r>
      <w:r w:rsidRPr="00772C86">
        <w:t>.</w:t>
      </w:r>
    </w:p>
    <w:p w14:paraId="5CA65335" w14:textId="77777777" w:rsidR="00244DCD" w:rsidRPr="00772C86" w:rsidRDefault="00244DCD" w:rsidP="00244DCD">
      <w:pPr>
        <w:spacing w:before="240" w:after="120" w:line="220" w:lineRule="exact"/>
        <w:rPr>
          <w:b/>
          <w:i/>
          <w:sz w:val="18"/>
        </w:rPr>
      </w:pPr>
      <w:r w:rsidRPr="00772C86">
        <w:rPr>
          <w:b/>
          <w:i/>
          <w:sz w:val="18"/>
        </w:rPr>
        <w:t>DIDATTICA DEL CORSO</w:t>
      </w:r>
    </w:p>
    <w:p w14:paraId="73D30978" w14:textId="77777777" w:rsidR="00244DCD" w:rsidRPr="00772C86" w:rsidRDefault="00244DCD" w:rsidP="00244DCD">
      <w:pPr>
        <w:pStyle w:val="Testo2"/>
      </w:pPr>
      <w:r w:rsidRPr="00772C86">
        <w:t xml:space="preserve">Lezioni </w:t>
      </w:r>
      <w:r w:rsidR="00741CAB" w:rsidRPr="00772C86">
        <w:t xml:space="preserve">ed esercitazioni </w:t>
      </w:r>
      <w:r w:rsidRPr="00772C86">
        <w:t>frontali, testimonianze di operatori del settore.</w:t>
      </w:r>
    </w:p>
    <w:p w14:paraId="021F2C0C" w14:textId="77777777" w:rsidR="00244DCD" w:rsidRPr="00772C86" w:rsidRDefault="00244DCD" w:rsidP="00244DCD">
      <w:pPr>
        <w:spacing w:before="240" w:after="120" w:line="220" w:lineRule="exact"/>
        <w:rPr>
          <w:b/>
          <w:i/>
          <w:sz w:val="18"/>
        </w:rPr>
      </w:pPr>
      <w:r w:rsidRPr="00772C86">
        <w:rPr>
          <w:b/>
          <w:i/>
          <w:sz w:val="18"/>
        </w:rPr>
        <w:t>METODO E CRITERI DI VALUTAZIONE</w:t>
      </w:r>
    </w:p>
    <w:p w14:paraId="00E967C2" w14:textId="0F2BBC63" w:rsidR="00244DCD" w:rsidRPr="00772C86" w:rsidRDefault="00741CAB" w:rsidP="00244DCD">
      <w:pPr>
        <w:pStyle w:val="Testo2"/>
      </w:pPr>
      <w:r w:rsidRPr="00772C86">
        <w:t>Le prove scritte (intermedia, di completamento e intera) sono costruite con lo scopo di valutare la preparazion</w:t>
      </w:r>
      <w:r w:rsidR="00660B63" w:rsidRPr="00772C86">
        <w:t>e dello studente avendo riguard</w:t>
      </w:r>
      <w:r w:rsidRPr="00772C86">
        <w:t xml:space="preserve">o agli obiettivi di apprendimento, all’autonomia di giudizio e all’acquisizione di un adeguato linguaggio tecnico. Tutte le </w:t>
      </w:r>
      <w:r w:rsidRPr="00772C86">
        <w:lastRenderedPageBreak/>
        <w:t xml:space="preserve">prove scritte comprendono domande </w:t>
      </w:r>
      <w:r w:rsidR="007C5101" w:rsidRPr="00772C86">
        <w:t>con risposte aperte</w:t>
      </w:r>
      <w:r w:rsidR="009F5EDD" w:rsidRPr="00772C86">
        <w:t>/chiuse</w:t>
      </w:r>
      <w:r w:rsidR="007C5101" w:rsidRPr="00772C86">
        <w:t xml:space="preserve"> ed esercizi, </w:t>
      </w:r>
      <w:r w:rsidRPr="00772C86">
        <w:t>ciascuno dei quali prevede uno specifico punteggio.</w:t>
      </w:r>
      <w:r w:rsidR="00244DCD" w:rsidRPr="00772C86">
        <w:t xml:space="preserve"> </w:t>
      </w:r>
    </w:p>
    <w:p w14:paraId="153E3514" w14:textId="4EFBE957" w:rsidR="00244DCD" w:rsidRPr="00772C86" w:rsidRDefault="00244DCD" w:rsidP="00244DCD">
      <w:pPr>
        <w:pStyle w:val="Testo2"/>
      </w:pPr>
      <w:r w:rsidRPr="00772C86">
        <w:t>È prevista una prova intermedia (durante il periodo di sospensione delle lezioni del secondo semestre</w:t>
      </w:r>
      <w:r w:rsidRPr="00D96D8D">
        <w:t xml:space="preserve">); la prova intermedia ha come oggetto di valutazione gli argomenti </w:t>
      </w:r>
      <w:r w:rsidR="00FA6116" w:rsidRPr="00D96D8D">
        <w:t xml:space="preserve">relativi ai punti 1, 2 e </w:t>
      </w:r>
      <w:r w:rsidR="00BE1C01" w:rsidRPr="00D96D8D">
        <w:t>6</w:t>
      </w:r>
      <w:r w:rsidRPr="00D96D8D">
        <w:t xml:space="preserve"> del programma del corso.</w:t>
      </w:r>
      <w:r w:rsidRPr="00772C86">
        <w:t xml:space="preserve"> La prova intermedia pesa per il 40% sul voto complessivo dell’esame. Lo studente che ha superato </w:t>
      </w:r>
      <w:r w:rsidR="00660B63" w:rsidRPr="00772C86">
        <w:t xml:space="preserve">la prova intermedia </w:t>
      </w:r>
      <w:r w:rsidRPr="00772C86">
        <w:t xml:space="preserve">con esito positivo (voto pari o superiore a 18/30) dovrà sostenere la prova di completamento (peso pari al 60% del voto complessivo – il voto deve essere pari o superiore a 18/30) entro la sessione d’esame di giugno-luglio </w:t>
      </w:r>
      <w:r w:rsidR="00415B76" w:rsidRPr="00D96D8D">
        <w:t>2022</w:t>
      </w:r>
      <w:r w:rsidRPr="00772C86">
        <w:t xml:space="preserve">. </w:t>
      </w:r>
    </w:p>
    <w:p w14:paraId="0E870233" w14:textId="395D5E40" w:rsidR="00244DCD" w:rsidRPr="00772C86" w:rsidRDefault="00244DCD" w:rsidP="00244DCD">
      <w:pPr>
        <w:pStyle w:val="Testo2"/>
      </w:pPr>
      <w:r w:rsidRPr="00772C86">
        <w:t>Lo studente che non ha sostenuto o non ha superato la prova intermedia dovrà sostenere la prova intera in uno degli appelli previsti dal calendario accademico. La prova intera</w:t>
      </w:r>
      <w:r w:rsidR="00E60509" w:rsidRPr="00772C86">
        <w:t xml:space="preserve"> riguarda tutto il programma del corso (corso istituzionale + esercitazioni)</w:t>
      </w:r>
      <w:r w:rsidRPr="00772C86">
        <w:t>.</w:t>
      </w:r>
    </w:p>
    <w:p w14:paraId="6C6C1F3F" w14:textId="77777777" w:rsidR="00244DCD" w:rsidRPr="00772C86" w:rsidRDefault="00244DCD" w:rsidP="00244DCD">
      <w:pPr>
        <w:pStyle w:val="Testo2"/>
      </w:pPr>
      <w:r w:rsidRPr="00772C86">
        <w:t>Indicazioni dettagliate riguardo alla modalità di svolgimento delle prove saranno rese disponibili su Blackboard.</w:t>
      </w:r>
    </w:p>
    <w:p w14:paraId="0AF7932E" w14:textId="77777777" w:rsidR="00244DCD" w:rsidRPr="00772C86" w:rsidRDefault="00244DCD" w:rsidP="00244DCD">
      <w:pPr>
        <w:spacing w:before="240" w:after="120"/>
        <w:rPr>
          <w:b/>
          <w:i/>
          <w:sz w:val="18"/>
        </w:rPr>
      </w:pPr>
      <w:r w:rsidRPr="00772C86">
        <w:rPr>
          <w:b/>
          <w:i/>
          <w:sz w:val="18"/>
        </w:rPr>
        <w:t>AVVERTENZE E PREREQUISITI</w:t>
      </w:r>
    </w:p>
    <w:p w14:paraId="56D608ED" w14:textId="77777777" w:rsidR="00244DCD" w:rsidRPr="00772C86" w:rsidRDefault="00244DCD" w:rsidP="00244DCD">
      <w:pPr>
        <w:pStyle w:val="Testo2"/>
      </w:pPr>
      <w:r w:rsidRPr="00772C86">
        <w:t>Si consiglia vivamente la frequenza al corso e una partecipazione attenta e attiva alle lezioni, anche in ragione dei frequenti mutamenti che spesso intervengono negli argomenti trattati.</w:t>
      </w:r>
    </w:p>
    <w:p w14:paraId="6C21554B" w14:textId="77777777" w:rsidR="00660B63" w:rsidRPr="00772C86" w:rsidRDefault="00660B63" w:rsidP="00244DCD">
      <w:pPr>
        <w:pStyle w:val="Testo2"/>
      </w:pPr>
      <w:r w:rsidRPr="00772C86">
        <w:t>Lo studente deve attenersi al programma dell’anno accademico in cui sostiene l’esame.</w:t>
      </w:r>
    </w:p>
    <w:p w14:paraId="55D21F59" w14:textId="54E45614" w:rsidR="00244DCD" w:rsidRPr="00772C86" w:rsidRDefault="00244DCD" w:rsidP="00244DCD">
      <w:pPr>
        <w:pStyle w:val="Testo2"/>
      </w:pPr>
      <w:r w:rsidRPr="00772C86">
        <w:t>Prerequisiti del corso riguardano essenzialmente conoscenze acquisite dallo studente durante i corsi di Economia aziendale e Metodologie e determinazioni quantitative d’azienda (struttura, organizzazione e gestione aziendale, sistema dei valori, bilancio e valori contabili, ecc.).</w:t>
      </w:r>
      <w:r w:rsidR="00BE1C01">
        <w:t xml:space="preserve"> </w:t>
      </w:r>
      <w:r w:rsidR="00BE1C01" w:rsidRPr="00D96D8D">
        <w:t xml:space="preserve">Si ricorda che il superamento dell’esame di Economia aziendale costituisce propedeuticità obbligatoria per Economia e gestione </w:t>
      </w:r>
      <w:r w:rsidR="00070379" w:rsidRPr="00D96D8D">
        <w:t>della banca</w:t>
      </w:r>
      <w:r w:rsidR="00BE1C01">
        <w:t>.</w:t>
      </w:r>
    </w:p>
    <w:p w14:paraId="790971F8" w14:textId="16D80D50" w:rsidR="00244DCD" w:rsidRDefault="00244DCD" w:rsidP="00244DCD">
      <w:pPr>
        <w:pStyle w:val="Testo2"/>
      </w:pPr>
      <w:r w:rsidRPr="00772C86">
        <w:t xml:space="preserve">Nelle pagine personali dei docenti sono indicati i </w:t>
      </w:r>
      <w:r w:rsidR="00660B63" w:rsidRPr="00772C86">
        <w:t>criteri di assegnazione tesi</w:t>
      </w:r>
      <w:r w:rsidRPr="00772C86">
        <w:t>.</w:t>
      </w:r>
    </w:p>
    <w:p w14:paraId="4D5004A2" w14:textId="77777777" w:rsidR="00181238" w:rsidRPr="00244DCD" w:rsidRDefault="00181238" w:rsidP="00244DCD">
      <w:pPr>
        <w:pStyle w:val="Testo2"/>
      </w:pPr>
    </w:p>
    <w:sectPr w:rsidR="00181238" w:rsidRPr="00244DCD"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5920AC" w14:textId="77777777" w:rsidR="0010626E" w:rsidRDefault="0010626E" w:rsidP="00256177">
      <w:pPr>
        <w:spacing w:line="240" w:lineRule="auto"/>
      </w:pPr>
      <w:r>
        <w:separator/>
      </w:r>
    </w:p>
  </w:endnote>
  <w:endnote w:type="continuationSeparator" w:id="0">
    <w:p w14:paraId="09D3EFC7" w14:textId="77777777" w:rsidR="0010626E" w:rsidRDefault="0010626E" w:rsidP="002561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Lucida Grande">
    <w:altName w:val="Segoe UI"/>
    <w:charset w:val="00"/>
    <w:family w:val="auto"/>
    <w:pitch w:val="variable"/>
    <w:sig w:usb0="E1000AEF" w:usb1="5000A1FF" w:usb2="00000000" w:usb3="00000000" w:csb0="000001BF" w:csb1="00000000"/>
  </w:font>
  <w:font w:name="Times Roman">
    <w:altName w:val="Times New Roman"/>
    <w:charset w:val="00"/>
    <w:family w:val="auto"/>
    <w:pitch w:val="variable"/>
    <w:sig w:usb0="E00002FF" w:usb1="5000205A" w:usb2="00000000" w:usb3="00000000" w:csb0="000001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F47DCE" w14:textId="77777777" w:rsidR="0010626E" w:rsidRDefault="0010626E" w:rsidP="00256177">
      <w:pPr>
        <w:spacing w:line="240" w:lineRule="auto"/>
      </w:pPr>
      <w:r>
        <w:separator/>
      </w:r>
    </w:p>
  </w:footnote>
  <w:footnote w:type="continuationSeparator" w:id="0">
    <w:p w14:paraId="39676BC0" w14:textId="77777777" w:rsidR="0010626E" w:rsidRDefault="0010626E" w:rsidP="00256177">
      <w:pPr>
        <w:spacing w:line="240" w:lineRule="auto"/>
      </w:pPr>
      <w:r>
        <w:continuationSeparator/>
      </w:r>
    </w:p>
  </w:footnote>
  <w:footnote w:id="1">
    <w:p w14:paraId="46D09E32" w14:textId="77777777" w:rsidR="0010626E" w:rsidRDefault="0010626E">
      <w:pPr>
        <w:pStyle w:val="Testonotaapidipagina"/>
      </w:pPr>
      <w:r>
        <w:rPr>
          <w:rStyle w:val="Rimandonotaapidipagina"/>
        </w:rPr>
        <w:footnoteRef/>
      </w:r>
      <w:r>
        <w:t xml:space="preserve"> </w:t>
      </w:r>
      <w:r w:rsidRPr="001D7759">
        <w:rPr>
          <w:sz w:val="16"/>
          <w:szCs w:val="16"/>
        </w:rPr>
        <w:t>I testi indicati nella bibliografia sono acquistabili presso le librerie di Ateneo; è possibile acquistarli 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571A6"/>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20A2E91"/>
    <w:multiLevelType w:val="hybridMultilevel"/>
    <w:tmpl w:val="7A9661B0"/>
    <w:lvl w:ilvl="0" w:tplc="8CD06FE0">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DCD"/>
    <w:rsid w:val="00031EE9"/>
    <w:rsid w:val="00063FE4"/>
    <w:rsid w:val="00070379"/>
    <w:rsid w:val="000C6777"/>
    <w:rsid w:val="0010626E"/>
    <w:rsid w:val="00181238"/>
    <w:rsid w:val="00187B99"/>
    <w:rsid w:val="001D0C7D"/>
    <w:rsid w:val="002014DD"/>
    <w:rsid w:val="002323E9"/>
    <w:rsid w:val="00244DCD"/>
    <w:rsid w:val="00256177"/>
    <w:rsid w:val="002D5E17"/>
    <w:rsid w:val="003500A7"/>
    <w:rsid w:val="00415B76"/>
    <w:rsid w:val="004B61B9"/>
    <w:rsid w:val="004D1217"/>
    <w:rsid w:val="004D6008"/>
    <w:rsid w:val="004E6106"/>
    <w:rsid w:val="005258BA"/>
    <w:rsid w:val="005620EC"/>
    <w:rsid w:val="00585D80"/>
    <w:rsid w:val="00591BDB"/>
    <w:rsid w:val="005C3912"/>
    <w:rsid w:val="0061447F"/>
    <w:rsid w:val="00640794"/>
    <w:rsid w:val="00660B63"/>
    <w:rsid w:val="00685A95"/>
    <w:rsid w:val="006D612C"/>
    <w:rsid w:val="006F1772"/>
    <w:rsid w:val="00741CAB"/>
    <w:rsid w:val="00772C86"/>
    <w:rsid w:val="007C5101"/>
    <w:rsid w:val="007E2807"/>
    <w:rsid w:val="0081017C"/>
    <w:rsid w:val="0085567E"/>
    <w:rsid w:val="00890FD5"/>
    <w:rsid w:val="008942E7"/>
    <w:rsid w:val="008A1204"/>
    <w:rsid w:val="00900CCA"/>
    <w:rsid w:val="00924B77"/>
    <w:rsid w:val="00940DA2"/>
    <w:rsid w:val="00975376"/>
    <w:rsid w:val="00982A03"/>
    <w:rsid w:val="009E055C"/>
    <w:rsid w:val="009F5EDD"/>
    <w:rsid w:val="00A62E73"/>
    <w:rsid w:val="00A74F6F"/>
    <w:rsid w:val="00AD7557"/>
    <w:rsid w:val="00B50C5D"/>
    <w:rsid w:val="00B51253"/>
    <w:rsid w:val="00B525CC"/>
    <w:rsid w:val="00BE1C01"/>
    <w:rsid w:val="00C43DFB"/>
    <w:rsid w:val="00CA0C82"/>
    <w:rsid w:val="00D404F2"/>
    <w:rsid w:val="00D72103"/>
    <w:rsid w:val="00D96D8D"/>
    <w:rsid w:val="00DA4CAD"/>
    <w:rsid w:val="00E60509"/>
    <w:rsid w:val="00E607E6"/>
    <w:rsid w:val="00F65B17"/>
    <w:rsid w:val="00FA6116"/>
    <w:rsid w:val="00FA7BF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CD8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44DCD"/>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244DCD"/>
    <w:pPr>
      <w:ind w:left="720"/>
      <w:contextualSpacing/>
    </w:pPr>
  </w:style>
  <w:style w:type="paragraph" w:styleId="Testonotaapidipagina">
    <w:name w:val="footnote text"/>
    <w:basedOn w:val="Normale"/>
    <w:link w:val="TestonotaapidipaginaCarattere"/>
    <w:rsid w:val="00256177"/>
    <w:pPr>
      <w:spacing w:line="240" w:lineRule="auto"/>
    </w:pPr>
    <w:rPr>
      <w:szCs w:val="20"/>
    </w:rPr>
  </w:style>
  <w:style w:type="character" w:customStyle="1" w:styleId="TestonotaapidipaginaCarattere">
    <w:name w:val="Testo nota a piè di pagina Carattere"/>
    <w:basedOn w:val="Carpredefinitoparagrafo"/>
    <w:link w:val="Testonotaapidipagina"/>
    <w:rsid w:val="00256177"/>
  </w:style>
  <w:style w:type="character" w:styleId="Rimandonotaapidipagina">
    <w:name w:val="footnote reference"/>
    <w:basedOn w:val="Carpredefinitoparagrafo"/>
    <w:rsid w:val="00256177"/>
    <w:rPr>
      <w:vertAlign w:val="superscript"/>
    </w:rPr>
  </w:style>
  <w:style w:type="character" w:styleId="Collegamentoipertestuale">
    <w:name w:val="Hyperlink"/>
    <w:basedOn w:val="Carpredefinitoparagrafo"/>
    <w:rsid w:val="00890FD5"/>
    <w:rPr>
      <w:color w:val="0563C1" w:themeColor="hyperlink"/>
      <w:u w:val="single"/>
    </w:rPr>
  </w:style>
  <w:style w:type="paragraph" w:styleId="Testofumetto">
    <w:name w:val="Balloon Text"/>
    <w:basedOn w:val="Normale"/>
    <w:link w:val="TestofumettoCarattere"/>
    <w:semiHidden/>
    <w:unhideWhenUsed/>
    <w:rsid w:val="00FA6116"/>
    <w:pPr>
      <w:spacing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semiHidden/>
    <w:rsid w:val="00FA6116"/>
    <w:rPr>
      <w:rFonts w:ascii="Lucida Grande" w:hAnsi="Lucida Grande" w:cs="Lucida Grande"/>
      <w:sz w:val="18"/>
      <w:szCs w:val="18"/>
    </w:rPr>
  </w:style>
  <w:style w:type="character" w:styleId="Rimandocommento">
    <w:name w:val="annotation reference"/>
    <w:basedOn w:val="Carpredefinitoparagrafo"/>
    <w:semiHidden/>
    <w:unhideWhenUsed/>
    <w:rsid w:val="001D0C7D"/>
    <w:rPr>
      <w:sz w:val="18"/>
      <w:szCs w:val="18"/>
    </w:rPr>
  </w:style>
  <w:style w:type="paragraph" w:styleId="Testocommento">
    <w:name w:val="annotation text"/>
    <w:basedOn w:val="Normale"/>
    <w:link w:val="TestocommentoCarattere"/>
    <w:semiHidden/>
    <w:unhideWhenUsed/>
    <w:rsid w:val="001D0C7D"/>
    <w:pPr>
      <w:spacing w:line="240" w:lineRule="auto"/>
    </w:pPr>
    <w:rPr>
      <w:sz w:val="24"/>
    </w:rPr>
  </w:style>
  <w:style w:type="character" w:customStyle="1" w:styleId="TestocommentoCarattere">
    <w:name w:val="Testo commento Carattere"/>
    <w:basedOn w:val="Carpredefinitoparagrafo"/>
    <w:link w:val="Testocommento"/>
    <w:semiHidden/>
    <w:rsid w:val="001D0C7D"/>
    <w:rPr>
      <w:sz w:val="24"/>
      <w:szCs w:val="24"/>
    </w:rPr>
  </w:style>
  <w:style w:type="paragraph" w:styleId="Soggettocommento">
    <w:name w:val="annotation subject"/>
    <w:basedOn w:val="Testocommento"/>
    <w:next w:val="Testocommento"/>
    <w:link w:val="SoggettocommentoCarattere"/>
    <w:semiHidden/>
    <w:unhideWhenUsed/>
    <w:rsid w:val="001D0C7D"/>
    <w:rPr>
      <w:b/>
      <w:bCs/>
      <w:sz w:val="20"/>
      <w:szCs w:val="20"/>
    </w:rPr>
  </w:style>
  <w:style w:type="character" w:customStyle="1" w:styleId="SoggettocommentoCarattere">
    <w:name w:val="Soggetto commento Carattere"/>
    <w:basedOn w:val="TestocommentoCarattere"/>
    <w:link w:val="Soggettocommento"/>
    <w:semiHidden/>
    <w:rsid w:val="001D0C7D"/>
    <w:rPr>
      <w:b/>
      <w:bCs/>
      <w:sz w:val="24"/>
      <w:szCs w:val="24"/>
    </w:rPr>
  </w:style>
  <w:style w:type="character" w:styleId="Collegamentovisitato">
    <w:name w:val="FollowedHyperlink"/>
    <w:basedOn w:val="Carpredefinitoparagrafo"/>
    <w:semiHidden/>
    <w:unhideWhenUsed/>
    <w:rsid w:val="00982A0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44DCD"/>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244DCD"/>
    <w:pPr>
      <w:ind w:left="720"/>
      <w:contextualSpacing/>
    </w:pPr>
  </w:style>
  <w:style w:type="paragraph" w:styleId="Testonotaapidipagina">
    <w:name w:val="footnote text"/>
    <w:basedOn w:val="Normale"/>
    <w:link w:val="TestonotaapidipaginaCarattere"/>
    <w:rsid w:val="00256177"/>
    <w:pPr>
      <w:spacing w:line="240" w:lineRule="auto"/>
    </w:pPr>
    <w:rPr>
      <w:szCs w:val="20"/>
    </w:rPr>
  </w:style>
  <w:style w:type="character" w:customStyle="1" w:styleId="TestonotaapidipaginaCarattere">
    <w:name w:val="Testo nota a piè di pagina Carattere"/>
    <w:basedOn w:val="Carpredefinitoparagrafo"/>
    <w:link w:val="Testonotaapidipagina"/>
    <w:rsid w:val="00256177"/>
  </w:style>
  <w:style w:type="character" w:styleId="Rimandonotaapidipagina">
    <w:name w:val="footnote reference"/>
    <w:basedOn w:val="Carpredefinitoparagrafo"/>
    <w:rsid w:val="00256177"/>
    <w:rPr>
      <w:vertAlign w:val="superscript"/>
    </w:rPr>
  </w:style>
  <w:style w:type="character" w:styleId="Collegamentoipertestuale">
    <w:name w:val="Hyperlink"/>
    <w:basedOn w:val="Carpredefinitoparagrafo"/>
    <w:rsid w:val="00890FD5"/>
    <w:rPr>
      <w:color w:val="0563C1" w:themeColor="hyperlink"/>
      <w:u w:val="single"/>
    </w:rPr>
  </w:style>
  <w:style w:type="paragraph" w:styleId="Testofumetto">
    <w:name w:val="Balloon Text"/>
    <w:basedOn w:val="Normale"/>
    <w:link w:val="TestofumettoCarattere"/>
    <w:semiHidden/>
    <w:unhideWhenUsed/>
    <w:rsid w:val="00FA6116"/>
    <w:pPr>
      <w:spacing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semiHidden/>
    <w:rsid w:val="00FA6116"/>
    <w:rPr>
      <w:rFonts w:ascii="Lucida Grande" w:hAnsi="Lucida Grande" w:cs="Lucida Grande"/>
      <w:sz w:val="18"/>
      <w:szCs w:val="18"/>
    </w:rPr>
  </w:style>
  <w:style w:type="character" w:styleId="Rimandocommento">
    <w:name w:val="annotation reference"/>
    <w:basedOn w:val="Carpredefinitoparagrafo"/>
    <w:semiHidden/>
    <w:unhideWhenUsed/>
    <w:rsid w:val="001D0C7D"/>
    <w:rPr>
      <w:sz w:val="18"/>
      <w:szCs w:val="18"/>
    </w:rPr>
  </w:style>
  <w:style w:type="paragraph" w:styleId="Testocommento">
    <w:name w:val="annotation text"/>
    <w:basedOn w:val="Normale"/>
    <w:link w:val="TestocommentoCarattere"/>
    <w:semiHidden/>
    <w:unhideWhenUsed/>
    <w:rsid w:val="001D0C7D"/>
    <w:pPr>
      <w:spacing w:line="240" w:lineRule="auto"/>
    </w:pPr>
    <w:rPr>
      <w:sz w:val="24"/>
    </w:rPr>
  </w:style>
  <w:style w:type="character" w:customStyle="1" w:styleId="TestocommentoCarattere">
    <w:name w:val="Testo commento Carattere"/>
    <w:basedOn w:val="Carpredefinitoparagrafo"/>
    <w:link w:val="Testocommento"/>
    <w:semiHidden/>
    <w:rsid w:val="001D0C7D"/>
    <w:rPr>
      <w:sz w:val="24"/>
      <w:szCs w:val="24"/>
    </w:rPr>
  </w:style>
  <w:style w:type="paragraph" w:styleId="Soggettocommento">
    <w:name w:val="annotation subject"/>
    <w:basedOn w:val="Testocommento"/>
    <w:next w:val="Testocommento"/>
    <w:link w:val="SoggettocommentoCarattere"/>
    <w:semiHidden/>
    <w:unhideWhenUsed/>
    <w:rsid w:val="001D0C7D"/>
    <w:rPr>
      <w:b/>
      <w:bCs/>
      <w:sz w:val="20"/>
      <w:szCs w:val="20"/>
    </w:rPr>
  </w:style>
  <w:style w:type="character" w:customStyle="1" w:styleId="SoggettocommentoCarattere">
    <w:name w:val="Soggetto commento Carattere"/>
    <w:basedOn w:val="TestocommentoCarattere"/>
    <w:link w:val="Soggettocommento"/>
    <w:semiHidden/>
    <w:rsid w:val="001D0C7D"/>
    <w:rPr>
      <w:b/>
      <w:bCs/>
      <w:sz w:val="24"/>
      <w:szCs w:val="24"/>
    </w:rPr>
  </w:style>
  <w:style w:type="character" w:styleId="Collegamentovisitato">
    <w:name w:val="FollowedHyperlink"/>
    <w:basedOn w:val="Carpredefinitoparagrafo"/>
    <w:semiHidden/>
    <w:unhideWhenUsed/>
    <w:rsid w:val="00982A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04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ibrerie.unicatt.it/scheda-libro/autori-vari/le-operazioni-bancarie-9788815251152-205914.html" TargetMode="External"/><Relationship Id="rId4" Type="http://schemas.microsoft.com/office/2007/relationships/stylesWithEffects" Target="stylesWithEffects.xml"/><Relationship Id="rId9" Type="http://schemas.openxmlformats.org/officeDocument/2006/relationships/hyperlink" Target="https://librerie.unicatt.it/scheda-libro/coursepack-di-economia-delle-aziende-di-credito-univsersita-cattolica-del-sacro-cuore-9788880083979-68082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0F2B5-0382-480E-B204-F81302370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3</Pages>
  <Words>801</Words>
  <Characters>5136</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2021-05-07T08:03:00Z</cp:lastPrinted>
  <dcterms:created xsi:type="dcterms:W3CDTF">2021-05-07T08:40:00Z</dcterms:created>
  <dcterms:modified xsi:type="dcterms:W3CDTF">2021-06-29T07:48:00Z</dcterms:modified>
</cp:coreProperties>
</file>