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B3948" w14:textId="77777777" w:rsidR="00CC78BA" w:rsidRPr="006F4D89" w:rsidRDefault="00CC78BA" w:rsidP="00CC78BA">
      <w:pPr>
        <w:pStyle w:val="Titolo1"/>
      </w:pPr>
      <w:r>
        <w:t>D</w:t>
      </w:r>
      <w:r w:rsidRPr="006F4D89">
        <w:t>iritto delle societ</w:t>
      </w:r>
      <w:r w:rsidRPr="006F4D89">
        <w:rPr>
          <w:rFonts w:cs="Times"/>
        </w:rPr>
        <w:t>à</w:t>
      </w:r>
      <w:r>
        <w:rPr>
          <w:rFonts w:cs="Times"/>
        </w:rPr>
        <w:t xml:space="preserve"> (laurea in Direzione e consulenza aziendale)</w:t>
      </w:r>
    </w:p>
    <w:p w14:paraId="4131430B" w14:textId="77777777" w:rsidR="00CC78BA" w:rsidRDefault="00CC78BA" w:rsidP="00CC78BA">
      <w:pPr>
        <w:pStyle w:val="Titolo2"/>
      </w:pPr>
      <w:r>
        <w:t>Prof. Carmelo Massimo De Iuliis</w:t>
      </w:r>
    </w:p>
    <w:p w14:paraId="19E5C634" w14:textId="77777777" w:rsidR="002D5E17" w:rsidRDefault="00CC78BA" w:rsidP="00CC78BA">
      <w:pPr>
        <w:spacing w:before="240" w:after="120" w:line="240" w:lineRule="exact"/>
        <w:rPr>
          <w:b/>
          <w:sz w:val="18"/>
        </w:rPr>
      </w:pPr>
      <w:r>
        <w:rPr>
          <w:b/>
          <w:i/>
          <w:sz w:val="18"/>
        </w:rPr>
        <w:t>OBIETTIVO DEL CORSO E RISULTATI DI APPRENDIMENTO ATTESI</w:t>
      </w:r>
    </w:p>
    <w:p w14:paraId="1EF17E20" w14:textId="77777777" w:rsidR="00777D0B" w:rsidRPr="00777D0B" w:rsidRDefault="00777D0B" w:rsidP="006C0825">
      <w:pPr>
        <w:tabs>
          <w:tab w:val="clear" w:pos="284"/>
        </w:tabs>
        <w:spacing w:line="240" w:lineRule="exact"/>
        <w:rPr>
          <w:rFonts w:eastAsia="MS Mincho"/>
        </w:rPr>
      </w:pPr>
      <w:r w:rsidRPr="00777D0B">
        <w:rPr>
          <w:rFonts w:eastAsia="MS Mincho"/>
        </w:rPr>
        <w:t>L’insegnamento si propone di fornire agli studenti una generale comprensione dei principi inerenti alle società di persone e di fornire agli studenti le nozioni di base sulle vicende giuridiche relative alla costituzione, funzionamento e modifiche strutturali delle società di capitali.</w:t>
      </w:r>
    </w:p>
    <w:p w14:paraId="3180652C" w14:textId="77777777" w:rsidR="00777D0B" w:rsidRPr="00777D0B" w:rsidRDefault="00777D0B" w:rsidP="006C0825">
      <w:pPr>
        <w:tabs>
          <w:tab w:val="clear" w:pos="284"/>
        </w:tabs>
        <w:autoSpaceDE w:val="0"/>
        <w:autoSpaceDN w:val="0"/>
        <w:adjustRightInd w:val="0"/>
        <w:spacing w:line="240" w:lineRule="exact"/>
        <w:rPr>
          <w:rFonts w:eastAsia="MS Mincho"/>
        </w:rPr>
      </w:pPr>
      <w:r w:rsidRPr="00777D0B">
        <w:rPr>
          <w:rFonts w:eastAsia="MS Mincho"/>
        </w:rPr>
        <w:t>Tramite un approccio teorico accompagnato dall’illustrazione di casi applicativi si intende condurre gli studenti ad una generale comprensione con adeguata sicurezza della disciplina societaria, rendendo gli stessi in grado di inquadrare i fenomeni sociali alla luce della conoscenza delle regole di diritto commerciale, anche lette nel contesto degli studi economici e aziendali del proprio percorso formativo.</w:t>
      </w:r>
    </w:p>
    <w:p w14:paraId="25B610C5" w14:textId="77777777" w:rsidR="00777D0B" w:rsidRPr="00777D0B" w:rsidRDefault="00777D0B" w:rsidP="006C0825">
      <w:pPr>
        <w:tabs>
          <w:tab w:val="clear" w:pos="284"/>
        </w:tabs>
        <w:autoSpaceDE w:val="0"/>
        <w:autoSpaceDN w:val="0"/>
        <w:adjustRightInd w:val="0"/>
        <w:spacing w:line="240" w:lineRule="exact"/>
        <w:rPr>
          <w:rFonts w:eastAsia="MS Mincho"/>
        </w:rPr>
      </w:pPr>
      <w:r w:rsidRPr="00777D0B">
        <w:rPr>
          <w:rFonts w:eastAsia="MS Mincho"/>
        </w:rPr>
        <w:t>Al termine dell’insegnamento gli studenti saranno in grado di conoscere e comprendere la disciplina societaria, in particolare delle società di capitali anche al fine di applicare idee originali in un contesto di ricerca; saranno capaci di esaminare con linguaggio appropriato, autonomia concettuale e spirito critico i più rilevanti problemi giuridici inerenti alle vicende societarie; sapranno integrare le conoscenze e gestire la complessità, formulando giudizi sulla base di informazioni limitate; saprà comunicare in modo chiaro e privo di ambiguità le proprie conclusioni, le conoscenze e le ragioni sottostanti rispetto ad interlocutori specialisti e non specialisti; sapranno avanzare negli studi del diritto delle società e in generale del diritto commerciale in modo per lo più auto-diretto e autonomo.</w:t>
      </w:r>
    </w:p>
    <w:p w14:paraId="54AE097E" w14:textId="77777777" w:rsidR="00CC78BA" w:rsidRDefault="00CC78BA" w:rsidP="00CC78BA">
      <w:pPr>
        <w:spacing w:before="240" w:after="120" w:line="240" w:lineRule="exact"/>
        <w:rPr>
          <w:b/>
          <w:sz w:val="18"/>
        </w:rPr>
      </w:pPr>
      <w:r>
        <w:rPr>
          <w:b/>
          <w:i/>
          <w:sz w:val="18"/>
        </w:rPr>
        <w:t>PROGRAMMA DEL CORSO</w:t>
      </w:r>
    </w:p>
    <w:p w14:paraId="33AEFBE5" w14:textId="77777777" w:rsidR="00CC78BA" w:rsidRPr="006C3E97" w:rsidRDefault="00CC78BA" w:rsidP="001F27C0">
      <w:pPr>
        <w:spacing w:line="240" w:lineRule="exact"/>
        <w:rPr>
          <w:i/>
        </w:rPr>
      </w:pPr>
      <w:r w:rsidRPr="006C3E97">
        <w:rPr>
          <w:i/>
        </w:rPr>
        <w:t>Introduzione</w:t>
      </w:r>
    </w:p>
    <w:p w14:paraId="5B0240DA" w14:textId="77777777" w:rsidR="00CC78BA" w:rsidRPr="006C3E97" w:rsidRDefault="00CC78BA" w:rsidP="001F27C0">
      <w:pPr>
        <w:spacing w:line="240" w:lineRule="exact"/>
      </w:pPr>
      <w:r w:rsidRPr="006C3E97">
        <w:t>–</w:t>
      </w:r>
      <w:r w:rsidRPr="006C3E97">
        <w:tab/>
        <w:t>Linee direttrici della riforma delle società di capitali e delle società cooperative.</w:t>
      </w:r>
    </w:p>
    <w:p w14:paraId="007EE209" w14:textId="77777777" w:rsidR="00CC78BA" w:rsidRPr="006C3E97" w:rsidRDefault="00CC78BA" w:rsidP="001F27C0">
      <w:pPr>
        <w:spacing w:line="240" w:lineRule="exact"/>
        <w:ind w:left="284" w:hanging="284"/>
      </w:pPr>
      <w:r w:rsidRPr="006C3E97">
        <w:t>–</w:t>
      </w:r>
      <w:r w:rsidRPr="006C3E97">
        <w:tab/>
        <w:t>Tipi giuridici e tipologia della realtà: società e gruppi di società come forme organizzative dell’attività d’impresa.</w:t>
      </w:r>
    </w:p>
    <w:p w14:paraId="1EB229E5" w14:textId="77777777" w:rsidR="00CC78BA" w:rsidRPr="006C3E97" w:rsidRDefault="00CC78BA" w:rsidP="001F27C0">
      <w:pPr>
        <w:spacing w:line="240" w:lineRule="exact"/>
      </w:pPr>
      <w:r w:rsidRPr="002F6B16">
        <w:t>–</w:t>
      </w:r>
      <w:r w:rsidRPr="006C3E97">
        <w:rPr>
          <w:b/>
        </w:rPr>
        <w:tab/>
      </w:r>
      <w:r w:rsidRPr="006C3E97">
        <w:t>La partecipazione sociale come investimento.</w:t>
      </w:r>
    </w:p>
    <w:p w14:paraId="33FDF9A1" w14:textId="77777777" w:rsidR="00CC78BA" w:rsidRPr="006C3E97" w:rsidRDefault="00CC78BA" w:rsidP="001F27C0">
      <w:pPr>
        <w:spacing w:before="120" w:line="240" w:lineRule="exact"/>
        <w:ind w:left="284" w:hanging="284"/>
        <w:rPr>
          <w:i/>
        </w:rPr>
      </w:pPr>
      <w:r w:rsidRPr="006C3E97">
        <w:rPr>
          <w:i/>
        </w:rPr>
        <w:t>Società per azioni</w:t>
      </w:r>
    </w:p>
    <w:p w14:paraId="315E66C0" w14:textId="77777777" w:rsidR="00CC78BA" w:rsidRPr="006C3E97" w:rsidRDefault="00CC78BA" w:rsidP="001F27C0">
      <w:pPr>
        <w:spacing w:line="240" w:lineRule="exact"/>
      </w:pPr>
      <w:r w:rsidRPr="006C3E97">
        <w:t>–</w:t>
      </w:r>
      <w:r w:rsidRPr="006C3E97">
        <w:tab/>
        <w:t>Nozione e struttura capitalistica.</w:t>
      </w:r>
    </w:p>
    <w:p w14:paraId="0D989A00" w14:textId="77777777" w:rsidR="00CC78BA" w:rsidRPr="006C3E97" w:rsidRDefault="00CC78BA" w:rsidP="001F27C0">
      <w:pPr>
        <w:spacing w:line="240" w:lineRule="exact"/>
      </w:pPr>
      <w:r w:rsidRPr="006C3E97">
        <w:t>–</w:t>
      </w:r>
      <w:r w:rsidRPr="006C3E97">
        <w:tab/>
        <w:t>Capitale e conferimenti.</w:t>
      </w:r>
    </w:p>
    <w:p w14:paraId="32589D59" w14:textId="77777777" w:rsidR="00CC78BA" w:rsidRPr="006C3E97" w:rsidRDefault="00CC78BA" w:rsidP="001F27C0">
      <w:pPr>
        <w:spacing w:line="240" w:lineRule="exact"/>
      </w:pPr>
      <w:r w:rsidRPr="006C3E97">
        <w:t>–</w:t>
      </w:r>
      <w:r w:rsidRPr="006C3E97">
        <w:tab/>
        <w:t>Gli apporti diversi dai conferimenti.</w:t>
      </w:r>
    </w:p>
    <w:p w14:paraId="0C992907" w14:textId="77777777" w:rsidR="00CC78BA" w:rsidRPr="006C3E97" w:rsidRDefault="00CC78BA" w:rsidP="001F27C0">
      <w:pPr>
        <w:spacing w:line="240" w:lineRule="exact"/>
      </w:pPr>
      <w:r w:rsidRPr="006C3E97">
        <w:t>–</w:t>
      </w:r>
      <w:r w:rsidRPr="006C3E97">
        <w:tab/>
        <w:t>Gli acquisti potenzialmente pericolosi.</w:t>
      </w:r>
    </w:p>
    <w:p w14:paraId="6AC7AA86" w14:textId="77777777" w:rsidR="00CC78BA" w:rsidRPr="006C3E97" w:rsidRDefault="00CC78BA" w:rsidP="001F27C0">
      <w:pPr>
        <w:spacing w:line="240" w:lineRule="exact"/>
      </w:pPr>
      <w:r w:rsidRPr="006C3E97">
        <w:t>–</w:t>
      </w:r>
      <w:r w:rsidRPr="006C3E97">
        <w:tab/>
        <w:t>Azioni e strumenti finanziari partecipativi.</w:t>
      </w:r>
    </w:p>
    <w:p w14:paraId="08E5C8FD" w14:textId="77777777" w:rsidR="00CC78BA" w:rsidRPr="006C3E97" w:rsidRDefault="00CC78BA" w:rsidP="001F27C0">
      <w:pPr>
        <w:spacing w:line="240" w:lineRule="exact"/>
      </w:pPr>
      <w:r w:rsidRPr="006C3E97">
        <w:t>–</w:t>
      </w:r>
      <w:r w:rsidRPr="006C3E97">
        <w:tab/>
        <w:t>Azioni e capitale sociale.</w:t>
      </w:r>
    </w:p>
    <w:p w14:paraId="725C35CC" w14:textId="77777777" w:rsidR="00CC78BA" w:rsidRPr="006C3E97" w:rsidRDefault="00CC78BA" w:rsidP="001F27C0">
      <w:pPr>
        <w:spacing w:line="240" w:lineRule="exact"/>
      </w:pPr>
      <w:r w:rsidRPr="006C3E97">
        <w:lastRenderedPageBreak/>
        <w:t>–</w:t>
      </w:r>
      <w:r w:rsidRPr="006C3E97">
        <w:tab/>
        <w:t>Categorie di azioni.</w:t>
      </w:r>
    </w:p>
    <w:p w14:paraId="5688D389" w14:textId="77777777" w:rsidR="00CC78BA" w:rsidRPr="006C3E97" w:rsidRDefault="00CC78BA" w:rsidP="001F27C0">
      <w:pPr>
        <w:spacing w:line="240" w:lineRule="exact"/>
      </w:pPr>
      <w:r w:rsidRPr="006C3E97">
        <w:t>–</w:t>
      </w:r>
      <w:r w:rsidRPr="006C3E97">
        <w:tab/>
        <w:t>Operazioni di azioni proprie.</w:t>
      </w:r>
    </w:p>
    <w:p w14:paraId="5A28157F" w14:textId="77777777" w:rsidR="00CC78BA" w:rsidRPr="006C3E97" w:rsidRDefault="00CC78BA" w:rsidP="001F27C0">
      <w:pPr>
        <w:spacing w:line="240" w:lineRule="exact"/>
      </w:pPr>
      <w:r w:rsidRPr="006C3E97">
        <w:t>–</w:t>
      </w:r>
      <w:r w:rsidRPr="006C3E97">
        <w:tab/>
        <w:t>Partecipazioni reciproche.</w:t>
      </w:r>
    </w:p>
    <w:p w14:paraId="4ECD8419" w14:textId="77777777" w:rsidR="00CC78BA" w:rsidRPr="006C3E97" w:rsidRDefault="00CC78BA" w:rsidP="001F27C0">
      <w:pPr>
        <w:spacing w:line="240" w:lineRule="exact"/>
      </w:pPr>
      <w:r w:rsidRPr="006C3E97">
        <w:t>–</w:t>
      </w:r>
      <w:r w:rsidRPr="006C3E97">
        <w:tab/>
        <w:t>Partecipazioni rilevanti.</w:t>
      </w:r>
    </w:p>
    <w:p w14:paraId="3D51A08E" w14:textId="77777777" w:rsidR="00CC78BA" w:rsidRPr="006C3E97" w:rsidRDefault="00CC78BA" w:rsidP="001F27C0">
      <w:pPr>
        <w:spacing w:line="240" w:lineRule="exact"/>
      </w:pPr>
      <w:r w:rsidRPr="006C3E97">
        <w:t>–</w:t>
      </w:r>
      <w:r w:rsidRPr="006C3E97">
        <w:tab/>
        <w:t>Società controllate e società collegate.</w:t>
      </w:r>
    </w:p>
    <w:p w14:paraId="7F892985" w14:textId="77777777" w:rsidR="00CC78BA" w:rsidRPr="006C3E97" w:rsidRDefault="00CC78BA" w:rsidP="001F27C0">
      <w:pPr>
        <w:spacing w:line="240" w:lineRule="exact"/>
      </w:pPr>
      <w:r w:rsidRPr="006C3E97">
        <w:t>–</w:t>
      </w:r>
      <w:r w:rsidRPr="006C3E97">
        <w:tab/>
        <w:t>S.p.a. e s.r.l. uni personali.</w:t>
      </w:r>
    </w:p>
    <w:p w14:paraId="4C0ACD86" w14:textId="77777777" w:rsidR="00CC78BA" w:rsidRPr="006C3E97" w:rsidRDefault="00CC78BA" w:rsidP="001F27C0">
      <w:pPr>
        <w:spacing w:line="240" w:lineRule="exact"/>
      </w:pPr>
      <w:r w:rsidRPr="006C3E97">
        <w:t>–</w:t>
      </w:r>
      <w:r w:rsidRPr="006C3E97">
        <w:tab/>
        <w:t>Patrimoni destinati.</w:t>
      </w:r>
    </w:p>
    <w:p w14:paraId="557B7169" w14:textId="77777777" w:rsidR="00CC78BA" w:rsidRPr="006C3E97" w:rsidRDefault="00CC78BA" w:rsidP="001F27C0">
      <w:pPr>
        <w:spacing w:before="120" w:line="240" w:lineRule="exact"/>
        <w:ind w:left="284" w:hanging="284"/>
        <w:rPr>
          <w:i/>
        </w:rPr>
      </w:pPr>
      <w:r w:rsidRPr="006C3E97">
        <w:rPr>
          <w:i/>
        </w:rPr>
        <w:t>L’assemblea</w:t>
      </w:r>
    </w:p>
    <w:p w14:paraId="7BBA99EA"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Nozione e procedimento.</w:t>
      </w:r>
    </w:p>
    <w:p w14:paraId="40AF9EDE"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Rappresentanza. Conflitti d’interesse e “abusi”.</w:t>
      </w:r>
    </w:p>
    <w:p w14:paraId="2C6E840A"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Patti parasociali.</w:t>
      </w:r>
    </w:p>
    <w:p w14:paraId="26CC41DC"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Sistema di invalidità delle delibere.</w:t>
      </w:r>
    </w:p>
    <w:p w14:paraId="050760AE" w14:textId="77777777" w:rsidR="00CC78BA" w:rsidRPr="006C3E97" w:rsidRDefault="00CC78BA" w:rsidP="001F27C0">
      <w:pPr>
        <w:spacing w:before="120" w:line="240" w:lineRule="exact"/>
        <w:ind w:left="284" w:hanging="284"/>
        <w:rPr>
          <w:i/>
        </w:rPr>
      </w:pPr>
      <w:r w:rsidRPr="006C3E97">
        <w:rPr>
          <w:i/>
        </w:rPr>
        <w:t>L’amministrazione e i controlli</w:t>
      </w:r>
    </w:p>
    <w:p w14:paraId="071498D4" w14:textId="77777777" w:rsidR="00CC78BA" w:rsidRPr="006C3E97" w:rsidRDefault="00CC78BA" w:rsidP="001F27C0">
      <w:pPr>
        <w:spacing w:line="240" w:lineRule="exact"/>
        <w:ind w:left="284" w:hanging="284"/>
      </w:pPr>
      <w:r w:rsidRPr="006C3E97">
        <w:t>–</w:t>
      </w:r>
      <w:r w:rsidRPr="006C3E97">
        <w:tab/>
        <w:t>Il sistema tradizionale: struttura, poteri e responsabilità degli amministratori, dei sindaci e dei titolari della funzione di controllo contabile.</w:t>
      </w:r>
    </w:p>
    <w:p w14:paraId="3C37B789" w14:textId="77777777" w:rsidR="00CC78BA" w:rsidRPr="006C3E97" w:rsidRDefault="00CC78BA" w:rsidP="001F27C0">
      <w:pPr>
        <w:spacing w:line="240" w:lineRule="exact"/>
        <w:ind w:left="284" w:hanging="284"/>
      </w:pPr>
      <w:r w:rsidRPr="006C3E97">
        <w:t>–</w:t>
      </w:r>
      <w:r w:rsidRPr="006C3E97">
        <w:tab/>
        <w:t>Il sistema dualistico: differenze di struttura e di regime rispetto al sistema tradizionale.</w:t>
      </w:r>
    </w:p>
    <w:p w14:paraId="4088D74A" w14:textId="77777777" w:rsidR="00CC78BA" w:rsidRPr="006C3E97" w:rsidRDefault="00CC78BA" w:rsidP="001F27C0">
      <w:pPr>
        <w:spacing w:line="240" w:lineRule="exact"/>
        <w:ind w:left="284" w:hanging="284"/>
      </w:pPr>
      <w:r w:rsidRPr="006C3E97">
        <w:t>–</w:t>
      </w:r>
      <w:r w:rsidRPr="006C3E97">
        <w:tab/>
        <w:t>Il sistema monistico: differenze di struttura e di regime rispetto al sistema tradizionale e al sistema dualistico.</w:t>
      </w:r>
    </w:p>
    <w:p w14:paraId="5CB80786" w14:textId="77777777" w:rsidR="00CC78BA" w:rsidRPr="006C3E97" w:rsidRDefault="00CC78BA" w:rsidP="001F27C0">
      <w:pPr>
        <w:spacing w:line="240" w:lineRule="exact"/>
      </w:pPr>
      <w:r w:rsidRPr="006C3E97">
        <w:t>–</w:t>
      </w:r>
      <w:r w:rsidRPr="006C3E97">
        <w:tab/>
        <w:t>Il conflitto d’interesse degli amministratori.</w:t>
      </w:r>
    </w:p>
    <w:p w14:paraId="1B059120" w14:textId="77777777" w:rsidR="00CC78BA" w:rsidRPr="006C3E97" w:rsidRDefault="00CC78BA" w:rsidP="001F27C0">
      <w:pPr>
        <w:spacing w:line="240" w:lineRule="exact"/>
      </w:pPr>
      <w:r w:rsidRPr="006C3E97">
        <w:t>–</w:t>
      </w:r>
      <w:r w:rsidRPr="006C3E97">
        <w:tab/>
        <w:t>Le azioni di responsabilità verso gli amministratori.</w:t>
      </w:r>
    </w:p>
    <w:p w14:paraId="3F9D2C40" w14:textId="77777777" w:rsidR="00CC78BA" w:rsidRPr="006C3E97" w:rsidRDefault="00CC78BA" w:rsidP="001F27C0">
      <w:pPr>
        <w:spacing w:line="240" w:lineRule="exact"/>
      </w:pPr>
      <w:r w:rsidRPr="006C3E97">
        <w:t>–</w:t>
      </w:r>
      <w:r w:rsidRPr="006C3E97">
        <w:tab/>
        <w:t>I controlli esterni: il controllo giudiziario ex art. 2409, cenni ai controlli Consob.</w:t>
      </w:r>
    </w:p>
    <w:p w14:paraId="0BB772DD" w14:textId="77777777" w:rsidR="00CC78BA" w:rsidRPr="006C3E97" w:rsidRDefault="00CC78BA" w:rsidP="001F27C0">
      <w:pPr>
        <w:spacing w:before="120" w:line="240" w:lineRule="exact"/>
        <w:ind w:left="284" w:hanging="284"/>
        <w:rPr>
          <w:i/>
        </w:rPr>
      </w:pPr>
      <w:r w:rsidRPr="006C3E97">
        <w:rPr>
          <w:i/>
        </w:rPr>
        <w:t>Modificazioni statutarie</w:t>
      </w:r>
    </w:p>
    <w:p w14:paraId="17BE3312" w14:textId="77777777" w:rsidR="00CC78BA" w:rsidRPr="006C3E97" w:rsidRDefault="00CC78BA" w:rsidP="001F27C0">
      <w:pPr>
        <w:spacing w:line="240" w:lineRule="exact"/>
        <w:ind w:left="284" w:hanging="284"/>
      </w:pPr>
      <w:r w:rsidRPr="006C3E97">
        <w:t>–</w:t>
      </w:r>
      <w:r w:rsidRPr="006C3E97">
        <w:tab/>
        <w:t>Procedimento.</w:t>
      </w:r>
    </w:p>
    <w:p w14:paraId="76BA0883" w14:textId="77777777" w:rsidR="00CC78BA" w:rsidRPr="006C3E97" w:rsidRDefault="00CC78BA" w:rsidP="001F27C0">
      <w:pPr>
        <w:spacing w:line="240" w:lineRule="exact"/>
        <w:ind w:left="284" w:hanging="284"/>
      </w:pPr>
      <w:r w:rsidRPr="006C3E97">
        <w:t>–</w:t>
      </w:r>
      <w:r w:rsidRPr="006C3E97">
        <w:tab/>
        <w:t>Diritto di recesso.</w:t>
      </w:r>
    </w:p>
    <w:p w14:paraId="59E574A9" w14:textId="77777777" w:rsidR="00CC78BA" w:rsidRPr="006C3E97" w:rsidRDefault="00CC78BA" w:rsidP="001F27C0">
      <w:pPr>
        <w:spacing w:line="240" w:lineRule="exact"/>
        <w:ind w:left="284" w:hanging="284"/>
      </w:pPr>
      <w:r w:rsidRPr="006C3E97">
        <w:t>–</w:t>
      </w:r>
      <w:r w:rsidRPr="006C3E97">
        <w:tab/>
        <w:t>Aumenti di capitale.</w:t>
      </w:r>
    </w:p>
    <w:p w14:paraId="52B966F6" w14:textId="77777777" w:rsidR="00CC78BA" w:rsidRPr="006C3E97" w:rsidRDefault="00CC78BA" w:rsidP="001F27C0">
      <w:pPr>
        <w:spacing w:line="240" w:lineRule="exact"/>
        <w:ind w:left="284" w:hanging="284"/>
      </w:pPr>
      <w:r w:rsidRPr="006C3E97">
        <w:t>–</w:t>
      </w:r>
      <w:r w:rsidRPr="006C3E97">
        <w:tab/>
        <w:t>Riduzioni di capitale.</w:t>
      </w:r>
    </w:p>
    <w:p w14:paraId="2DAFD6F7" w14:textId="77777777" w:rsidR="00CC78BA" w:rsidRPr="006C3E97" w:rsidRDefault="00CC78BA" w:rsidP="001F27C0">
      <w:pPr>
        <w:spacing w:before="120" w:line="240" w:lineRule="exact"/>
        <w:ind w:left="284" w:hanging="284"/>
        <w:rPr>
          <w:i/>
        </w:rPr>
      </w:pPr>
      <w:r w:rsidRPr="006C3E97">
        <w:rPr>
          <w:i/>
        </w:rPr>
        <w:t>Società a responsabilità limitata</w:t>
      </w:r>
    </w:p>
    <w:p w14:paraId="4DD69546" w14:textId="77777777" w:rsidR="00CC78BA" w:rsidRPr="006C3E97" w:rsidRDefault="00CC78BA" w:rsidP="001F27C0">
      <w:pPr>
        <w:spacing w:line="240" w:lineRule="exact"/>
        <w:ind w:left="284" w:hanging="284"/>
      </w:pPr>
      <w:r w:rsidRPr="006C3E97">
        <w:t>–</w:t>
      </w:r>
      <w:r w:rsidRPr="006C3E97">
        <w:tab/>
        <w:t>Nozioni e caratteri distintivi.</w:t>
      </w:r>
    </w:p>
    <w:p w14:paraId="3C298C93" w14:textId="77777777" w:rsidR="00CC78BA" w:rsidRPr="006C3E97" w:rsidRDefault="00CC78BA" w:rsidP="001F27C0">
      <w:pPr>
        <w:spacing w:line="240" w:lineRule="exact"/>
        <w:ind w:left="284" w:hanging="284"/>
      </w:pPr>
      <w:r w:rsidRPr="006C3E97">
        <w:t>–</w:t>
      </w:r>
      <w:r w:rsidRPr="006C3E97">
        <w:tab/>
        <w:t>Costituzione e conferimenti.</w:t>
      </w:r>
    </w:p>
    <w:p w14:paraId="2102BDB1" w14:textId="77777777" w:rsidR="00CC78BA" w:rsidRPr="006C3E97" w:rsidRDefault="00CC78BA" w:rsidP="001F27C0">
      <w:pPr>
        <w:spacing w:line="240" w:lineRule="exact"/>
        <w:ind w:left="284" w:hanging="284"/>
      </w:pPr>
      <w:r w:rsidRPr="006C3E97">
        <w:t>–</w:t>
      </w:r>
      <w:r w:rsidRPr="006C3E97">
        <w:tab/>
        <w:t>Quote sociali.</w:t>
      </w:r>
    </w:p>
    <w:p w14:paraId="0134046C" w14:textId="77777777" w:rsidR="00CC78BA" w:rsidRPr="006C3E97" w:rsidRDefault="00CC78BA" w:rsidP="001F27C0">
      <w:pPr>
        <w:spacing w:line="240" w:lineRule="exact"/>
        <w:ind w:left="284" w:hanging="284"/>
      </w:pPr>
      <w:r w:rsidRPr="006C3E97">
        <w:t>–</w:t>
      </w:r>
      <w:r w:rsidRPr="006C3E97">
        <w:tab/>
        <w:t>Finanziamenti dei soci.</w:t>
      </w:r>
    </w:p>
    <w:p w14:paraId="439A63E6" w14:textId="77777777" w:rsidR="00CC78BA" w:rsidRPr="006C3E97" w:rsidRDefault="00CC78BA" w:rsidP="001F27C0">
      <w:pPr>
        <w:spacing w:line="240" w:lineRule="exact"/>
        <w:ind w:left="284" w:hanging="284"/>
      </w:pPr>
      <w:r w:rsidRPr="006C3E97">
        <w:t>–</w:t>
      </w:r>
      <w:r w:rsidRPr="006C3E97">
        <w:tab/>
        <w:t>Le decisioni dei soci.</w:t>
      </w:r>
    </w:p>
    <w:p w14:paraId="14F73F08" w14:textId="77777777" w:rsidR="00CC78BA" w:rsidRPr="006C3E97" w:rsidRDefault="00CC78BA" w:rsidP="001F27C0">
      <w:pPr>
        <w:spacing w:line="240" w:lineRule="exact"/>
        <w:ind w:left="284" w:hanging="284"/>
      </w:pPr>
      <w:r w:rsidRPr="006C3E97">
        <w:t>–</w:t>
      </w:r>
      <w:r w:rsidRPr="006C3E97">
        <w:tab/>
        <w:t>L’organo amministrativo e i controlli.</w:t>
      </w:r>
    </w:p>
    <w:p w14:paraId="6C39D7FE" w14:textId="77777777" w:rsidR="00CC78BA" w:rsidRDefault="00CC78BA" w:rsidP="001F27C0">
      <w:pPr>
        <w:spacing w:line="240" w:lineRule="exact"/>
        <w:ind w:left="284" w:hanging="284"/>
      </w:pPr>
      <w:r w:rsidRPr="006C3E97">
        <w:t>–</w:t>
      </w:r>
      <w:r w:rsidRPr="006C3E97">
        <w:tab/>
        <w:t>La responsabilità degli amministratori e dei soci.</w:t>
      </w:r>
    </w:p>
    <w:p w14:paraId="02200D0F" w14:textId="77777777" w:rsidR="00CC78BA" w:rsidRPr="00E91916" w:rsidRDefault="00CC78BA" w:rsidP="001F27C0">
      <w:pPr>
        <w:spacing w:before="120" w:line="240" w:lineRule="exact"/>
        <w:ind w:left="284" w:hanging="284"/>
        <w:rPr>
          <w:i/>
        </w:rPr>
      </w:pPr>
      <w:r w:rsidRPr="00E91916">
        <w:rPr>
          <w:i/>
        </w:rPr>
        <w:t>Gruppi di società</w:t>
      </w:r>
    </w:p>
    <w:p w14:paraId="22A1AD93" w14:textId="77777777" w:rsidR="00CC78BA" w:rsidRPr="00E91916" w:rsidRDefault="00CC78BA" w:rsidP="001F27C0">
      <w:pPr>
        <w:spacing w:line="240" w:lineRule="exact"/>
      </w:pPr>
      <w:r w:rsidRPr="00E91916">
        <w:t>–</w:t>
      </w:r>
      <w:r w:rsidRPr="00E91916">
        <w:tab/>
        <w:t>Nozioni e sintesi della disciplina.</w:t>
      </w:r>
    </w:p>
    <w:p w14:paraId="2F8CB1EE" w14:textId="77777777" w:rsidR="00CC78BA" w:rsidRPr="00E91916" w:rsidRDefault="00CC78BA" w:rsidP="001F27C0">
      <w:pPr>
        <w:spacing w:line="240" w:lineRule="exact"/>
        <w:ind w:left="284" w:hanging="284"/>
      </w:pPr>
      <w:r w:rsidRPr="00E91916">
        <w:lastRenderedPageBreak/>
        <w:t>–</w:t>
      </w:r>
      <w:r w:rsidRPr="00E91916">
        <w:tab/>
        <w:t>Il fenomeno del gruppo e la sua disciplina in termini giuridici di direzione e coordinamento della società.</w:t>
      </w:r>
    </w:p>
    <w:p w14:paraId="4392B38E" w14:textId="77777777" w:rsidR="00CC78BA" w:rsidRPr="00E91916" w:rsidRDefault="00CC78BA" w:rsidP="001F27C0">
      <w:pPr>
        <w:spacing w:line="240" w:lineRule="exact"/>
      </w:pPr>
      <w:r w:rsidRPr="00E91916">
        <w:t>–</w:t>
      </w:r>
      <w:r w:rsidRPr="00E91916">
        <w:tab/>
        <w:t>Poteri e doveri della società capogruppo.</w:t>
      </w:r>
    </w:p>
    <w:p w14:paraId="6DFF1BFC" w14:textId="77777777" w:rsidR="00CC78BA" w:rsidRPr="006F4D89" w:rsidRDefault="00CC78BA" w:rsidP="001F27C0">
      <w:pPr>
        <w:spacing w:line="240" w:lineRule="exact"/>
      </w:pPr>
      <w:r w:rsidRPr="00E91916">
        <w:t>–</w:t>
      </w:r>
      <w:r w:rsidRPr="00E91916">
        <w:tab/>
        <w:t>Tutela dei soci e dei creditori delle società controllate.</w:t>
      </w:r>
    </w:p>
    <w:p w14:paraId="6EE184BC" w14:textId="77777777" w:rsidR="00CC78BA" w:rsidRPr="00E91916" w:rsidRDefault="00CC78BA" w:rsidP="001F27C0">
      <w:pPr>
        <w:spacing w:before="120" w:line="240" w:lineRule="exact"/>
        <w:ind w:left="284" w:hanging="284"/>
      </w:pPr>
      <w:r w:rsidRPr="00E91916">
        <w:rPr>
          <w:i/>
        </w:rPr>
        <w:t>Modifiche strutturali</w:t>
      </w:r>
    </w:p>
    <w:p w14:paraId="5CAE199B" w14:textId="77777777" w:rsidR="00CC78BA" w:rsidRPr="00E91916" w:rsidRDefault="00CC78BA" w:rsidP="001F27C0">
      <w:pPr>
        <w:spacing w:line="240" w:lineRule="exact"/>
      </w:pPr>
      <w:r w:rsidRPr="00E91916">
        <w:t>–</w:t>
      </w:r>
      <w:r w:rsidRPr="00E91916">
        <w:tab/>
        <w:t>Scioglimento, trasformazione, fusione e scissione.</w:t>
      </w:r>
    </w:p>
    <w:p w14:paraId="1E192C26" w14:textId="77777777" w:rsidR="00CC78BA" w:rsidRPr="00E91916" w:rsidRDefault="00CC78BA" w:rsidP="001F27C0">
      <w:pPr>
        <w:spacing w:line="240" w:lineRule="exact"/>
      </w:pPr>
      <w:r w:rsidRPr="00E91916">
        <w:t>–</w:t>
      </w:r>
      <w:r w:rsidRPr="00E91916">
        <w:tab/>
        <w:t>Scioglimento delle società di capitali.</w:t>
      </w:r>
    </w:p>
    <w:p w14:paraId="46BF634E" w14:textId="77777777" w:rsidR="00CC78BA" w:rsidRPr="00E91916" w:rsidRDefault="00CC78BA" w:rsidP="001F27C0">
      <w:pPr>
        <w:spacing w:line="240" w:lineRule="exact"/>
      </w:pPr>
      <w:r w:rsidRPr="00E91916">
        <w:t>–</w:t>
      </w:r>
      <w:r w:rsidRPr="00E91916">
        <w:tab/>
        <w:t>Trasformazioni omogenee ed eterogenee.</w:t>
      </w:r>
    </w:p>
    <w:p w14:paraId="37517556" w14:textId="77777777" w:rsidR="00CC78BA" w:rsidRPr="00E91916" w:rsidRDefault="00CC78BA" w:rsidP="001F27C0">
      <w:pPr>
        <w:spacing w:line="240" w:lineRule="exact"/>
      </w:pPr>
      <w:r w:rsidRPr="00E91916">
        <w:t>–</w:t>
      </w:r>
      <w:r w:rsidRPr="00E91916">
        <w:tab/>
        <w:t>Fusione.</w:t>
      </w:r>
    </w:p>
    <w:p w14:paraId="4B0F4174" w14:textId="77777777" w:rsidR="00CC78BA" w:rsidRDefault="00CC78BA" w:rsidP="001F27C0">
      <w:pPr>
        <w:spacing w:line="240" w:lineRule="exact"/>
      </w:pPr>
      <w:r w:rsidRPr="00E91916">
        <w:t>–</w:t>
      </w:r>
      <w:r w:rsidRPr="00E91916">
        <w:tab/>
        <w:t>Scissione</w:t>
      </w:r>
      <w:r>
        <w:t>.</w:t>
      </w:r>
    </w:p>
    <w:p w14:paraId="234ED77C" w14:textId="3A124C05" w:rsidR="00CC78BA" w:rsidRPr="001F27C0" w:rsidRDefault="00CC78BA" w:rsidP="001F27C0">
      <w:pPr>
        <w:spacing w:before="240" w:after="120"/>
        <w:rPr>
          <w:b/>
          <w:i/>
          <w:sz w:val="18"/>
        </w:rPr>
      </w:pPr>
      <w:r>
        <w:rPr>
          <w:b/>
          <w:i/>
          <w:sz w:val="18"/>
        </w:rPr>
        <w:t>BIBLIOGRAFIA</w:t>
      </w:r>
      <w:r w:rsidR="00B91795">
        <w:rPr>
          <w:rStyle w:val="Rimandonotaapidipagina"/>
          <w:b/>
          <w:i/>
          <w:sz w:val="18"/>
        </w:rPr>
        <w:footnoteReference w:id="1"/>
      </w:r>
    </w:p>
    <w:p w14:paraId="291E384D" w14:textId="724148EB" w:rsidR="00E238E0" w:rsidRPr="00E238E0" w:rsidRDefault="00E238E0" w:rsidP="00E238E0">
      <w:pPr>
        <w:ind w:right="-992"/>
        <w:rPr>
          <w:rFonts w:ascii="Times" w:eastAsia="MS Mincho" w:hAnsi="Times"/>
          <w:noProof/>
          <w:sz w:val="18"/>
          <w:szCs w:val="20"/>
        </w:rPr>
      </w:pPr>
      <w:r w:rsidRPr="00E238E0">
        <w:rPr>
          <w:rFonts w:ascii="Times" w:eastAsia="MS Mincho" w:hAnsi="Times"/>
          <w:noProof/>
          <w:sz w:val="18"/>
          <w:szCs w:val="20"/>
        </w:rPr>
        <w:t xml:space="preserve">G.F. Campobasso, Diritto Commerciale 2. Diritto delle società, Utet, Torino, </w:t>
      </w:r>
      <w:bookmarkStart w:id="0" w:name="OLE_LINK1"/>
      <w:bookmarkStart w:id="1" w:name="OLE_LINK2"/>
      <w:r w:rsidRPr="00E238E0">
        <w:rPr>
          <w:rFonts w:ascii="Times" w:eastAsia="MS Mincho" w:hAnsi="Times"/>
          <w:noProof/>
          <w:sz w:val="18"/>
          <w:szCs w:val="20"/>
        </w:rPr>
        <w:t>ultima ed. disponibile</w:t>
      </w:r>
      <w:bookmarkEnd w:id="0"/>
      <w:bookmarkEnd w:id="1"/>
      <w:r w:rsidRPr="00E238E0">
        <w:rPr>
          <w:rFonts w:ascii="Times" w:eastAsia="MS Mincho" w:hAnsi="Times"/>
          <w:noProof/>
          <w:sz w:val="18"/>
          <w:szCs w:val="20"/>
        </w:rPr>
        <w:t>.</w:t>
      </w:r>
      <w:r w:rsidR="00B91795">
        <w:rPr>
          <w:rFonts w:ascii="Times" w:eastAsia="MS Mincho" w:hAnsi="Times"/>
          <w:noProof/>
          <w:sz w:val="18"/>
          <w:szCs w:val="20"/>
        </w:rPr>
        <w:t xml:space="preserve"> </w:t>
      </w:r>
      <w:hyperlink r:id="rId8" w:history="1">
        <w:r w:rsidR="00B91795" w:rsidRPr="00B91795">
          <w:rPr>
            <w:rStyle w:val="Collegamentoipertestuale"/>
            <w:i/>
            <w:sz w:val="16"/>
            <w:szCs w:val="16"/>
          </w:rPr>
          <w:t>Acquista da VP</w:t>
        </w:r>
      </w:hyperlink>
    </w:p>
    <w:p w14:paraId="0762AA5B" w14:textId="77777777" w:rsidR="00E238E0" w:rsidRPr="00E238E0" w:rsidRDefault="00E238E0" w:rsidP="00E238E0">
      <w:pPr>
        <w:ind w:right="-992"/>
        <w:rPr>
          <w:rFonts w:ascii="Times" w:eastAsia="MS Mincho" w:hAnsi="Times"/>
          <w:noProof/>
          <w:sz w:val="18"/>
          <w:szCs w:val="20"/>
        </w:rPr>
      </w:pPr>
    </w:p>
    <w:p w14:paraId="6F2E2A5D" w14:textId="77777777" w:rsidR="00E238E0" w:rsidRPr="00E238E0" w:rsidRDefault="00E238E0" w:rsidP="00E238E0">
      <w:pPr>
        <w:ind w:right="-992"/>
        <w:rPr>
          <w:rFonts w:ascii="Times" w:eastAsia="MS Mincho" w:hAnsi="Times"/>
          <w:noProof/>
          <w:sz w:val="18"/>
          <w:szCs w:val="20"/>
        </w:rPr>
      </w:pPr>
      <w:r w:rsidRPr="00E238E0">
        <w:rPr>
          <w:rFonts w:ascii="Times" w:eastAsia="MS Mincho" w:hAnsi="Times"/>
          <w:noProof/>
          <w:sz w:val="18"/>
          <w:szCs w:val="20"/>
        </w:rPr>
        <w:t>Ad integrazione del manuale predetto:</w:t>
      </w:r>
    </w:p>
    <w:p w14:paraId="29D0676B" w14:textId="2863E18E" w:rsidR="00E238E0" w:rsidRPr="00E238E0" w:rsidRDefault="00E238E0" w:rsidP="00E238E0">
      <w:pPr>
        <w:ind w:right="-992"/>
        <w:rPr>
          <w:rFonts w:ascii="Times" w:eastAsia="MS Mincho" w:hAnsi="Times"/>
          <w:noProof/>
          <w:sz w:val="18"/>
          <w:szCs w:val="20"/>
        </w:rPr>
      </w:pPr>
      <w:r w:rsidRPr="00E238E0">
        <w:rPr>
          <w:rFonts w:ascii="Times" w:eastAsia="MS Mincho" w:hAnsi="Times"/>
          <w:noProof/>
          <w:sz w:val="18"/>
          <w:szCs w:val="20"/>
        </w:rPr>
        <w:t>C.M. De Iuliis, Norme e Schemi di Diritto delle Società di Capitali, Quarta edizione, 2020 Giappichelli, Torino.</w:t>
      </w:r>
      <w:r w:rsidR="00B91795">
        <w:rPr>
          <w:rFonts w:ascii="Times" w:eastAsia="MS Mincho" w:hAnsi="Times"/>
          <w:noProof/>
          <w:sz w:val="18"/>
          <w:szCs w:val="20"/>
        </w:rPr>
        <w:t xml:space="preserve"> </w:t>
      </w:r>
      <w:hyperlink r:id="rId9" w:history="1">
        <w:r w:rsidR="00B91795" w:rsidRPr="00B91795">
          <w:rPr>
            <w:rStyle w:val="Collegamentoipertestuale"/>
            <w:i/>
            <w:sz w:val="16"/>
            <w:szCs w:val="16"/>
          </w:rPr>
          <w:t>Acquista da VP</w:t>
        </w:r>
      </w:hyperlink>
    </w:p>
    <w:p w14:paraId="3B1C4E89" w14:textId="77777777" w:rsidR="00E238E0" w:rsidRPr="00E238E0" w:rsidRDefault="00E238E0" w:rsidP="00E238E0">
      <w:pPr>
        <w:ind w:right="-992"/>
        <w:rPr>
          <w:rFonts w:ascii="Times" w:eastAsia="MS Mincho" w:hAnsi="Times"/>
          <w:noProof/>
          <w:sz w:val="18"/>
          <w:szCs w:val="20"/>
        </w:rPr>
      </w:pPr>
    </w:p>
    <w:p w14:paraId="47FDAF5E" w14:textId="1019A0F3" w:rsidR="00E238E0" w:rsidRPr="00E238E0" w:rsidRDefault="00E238E0" w:rsidP="00E238E0">
      <w:pPr>
        <w:ind w:right="-992"/>
        <w:rPr>
          <w:rFonts w:ascii="Times" w:eastAsia="MS Mincho" w:hAnsi="Times"/>
          <w:noProof/>
          <w:sz w:val="18"/>
          <w:szCs w:val="20"/>
        </w:rPr>
      </w:pPr>
      <w:r w:rsidRPr="00E238E0">
        <w:rPr>
          <w:rFonts w:ascii="Times" w:eastAsia="MS Mincho" w:hAnsi="Times"/>
          <w:noProof/>
          <w:sz w:val="18"/>
          <w:szCs w:val="20"/>
        </w:rPr>
        <w:t>N.B.: È necessario che gli studenti utilizzino un codice civile aggiornato al 202</w:t>
      </w:r>
      <w:r>
        <w:rPr>
          <w:rFonts w:ascii="Times" w:eastAsia="MS Mincho" w:hAnsi="Times"/>
          <w:noProof/>
          <w:sz w:val="18"/>
          <w:szCs w:val="20"/>
        </w:rPr>
        <w:t>1</w:t>
      </w:r>
      <w:r w:rsidRPr="00E238E0">
        <w:rPr>
          <w:rFonts w:ascii="Times" w:eastAsia="MS Mincho" w:hAnsi="Times"/>
          <w:noProof/>
          <w:sz w:val="18"/>
          <w:szCs w:val="20"/>
        </w:rPr>
        <w:t>, tra quelli in commercio all’inizio dei corsi. Si suggerisce l’utilizzazione del Codice Civile a cura di De Nova, Zanichelli, Bologna</w:t>
      </w:r>
      <w:r w:rsidR="00B91795">
        <w:rPr>
          <w:rFonts w:ascii="Times" w:eastAsia="MS Mincho" w:hAnsi="Times"/>
          <w:noProof/>
          <w:sz w:val="18"/>
          <w:szCs w:val="20"/>
        </w:rPr>
        <w:t xml:space="preserve"> </w:t>
      </w:r>
      <w:hyperlink r:id="rId10" w:history="1">
        <w:r w:rsidR="00B91795" w:rsidRPr="00B91795">
          <w:rPr>
            <w:rStyle w:val="Collegamentoipertestuale"/>
            <w:i/>
            <w:sz w:val="16"/>
            <w:szCs w:val="16"/>
          </w:rPr>
          <w:t>Acquista da VP</w:t>
        </w:r>
      </w:hyperlink>
      <w:r w:rsidRPr="00E238E0">
        <w:rPr>
          <w:rFonts w:ascii="Times" w:eastAsia="MS Mincho" w:hAnsi="Times"/>
          <w:noProof/>
          <w:sz w:val="18"/>
          <w:szCs w:val="20"/>
        </w:rPr>
        <w:t>; oppure Codice Civile a cura di Di Majo, Giuffrè, Milano</w:t>
      </w:r>
      <w:r w:rsidR="00B91795">
        <w:rPr>
          <w:rFonts w:ascii="Times" w:eastAsia="MS Mincho" w:hAnsi="Times"/>
          <w:noProof/>
          <w:sz w:val="18"/>
          <w:szCs w:val="20"/>
        </w:rPr>
        <w:t xml:space="preserve"> </w:t>
      </w:r>
      <w:hyperlink r:id="rId11" w:history="1">
        <w:r w:rsidR="00B91795" w:rsidRPr="00B91795">
          <w:rPr>
            <w:rStyle w:val="Collegamentoipertestuale"/>
            <w:i/>
            <w:sz w:val="16"/>
            <w:szCs w:val="16"/>
          </w:rPr>
          <w:t>Acquista da VP</w:t>
        </w:r>
      </w:hyperlink>
      <w:bookmarkStart w:id="2" w:name="_GoBack"/>
      <w:bookmarkEnd w:id="2"/>
      <w:r w:rsidRPr="00E238E0">
        <w:rPr>
          <w:rFonts w:ascii="Times" w:eastAsia="MS Mincho" w:hAnsi="Times"/>
          <w:noProof/>
          <w:sz w:val="18"/>
          <w:szCs w:val="20"/>
        </w:rPr>
        <w:t>.</w:t>
      </w:r>
    </w:p>
    <w:p w14:paraId="43E3CBAB" w14:textId="77777777" w:rsidR="00E238E0" w:rsidRDefault="00E238E0" w:rsidP="001F27C0">
      <w:pPr>
        <w:pStyle w:val="Testo2"/>
        <w:ind w:left="284" w:hanging="284"/>
        <w:rPr>
          <w:rFonts w:eastAsia="MS Mincho"/>
        </w:rPr>
      </w:pPr>
    </w:p>
    <w:p w14:paraId="55EA566D" w14:textId="0DB3C045" w:rsidR="00CC78BA" w:rsidRPr="006F4D89" w:rsidRDefault="00CC78BA" w:rsidP="001F27C0">
      <w:pPr>
        <w:pStyle w:val="Testo2"/>
        <w:ind w:left="284" w:hanging="284"/>
        <w:rPr>
          <w:rFonts w:eastAsia="MS Mincho"/>
        </w:rPr>
      </w:pPr>
      <w:r w:rsidRPr="006F4D89">
        <w:rPr>
          <w:rFonts w:eastAsia="MS Mincho"/>
        </w:rPr>
        <w:t>Il syllabus dettagliato e ulteriore materiale di studio verranno resi disponibili on-line sulla piattaforma Blackboard dedicata.</w:t>
      </w:r>
    </w:p>
    <w:p w14:paraId="1A027588" w14:textId="77777777" w:rsidR="00CC78BA" w:rsidRDefault="00CC78BA" w:rsidP="00CC78BA">
      <w:pPr>
        <w:spacing w:before="240" w:after="120"/>
        <w:rPr>
          <w:b/>
          <w:i/>
          <w:sz w:val="18"/>
        </w:rPr>
      </w:pPr>
      <w:r>
        <w:rPr>
          <w:b/>
          <w:i/>
          <w:sz w:val="18"/>
        </w:rPr>
        <w:t>DIDATTICA DEL CORSO</w:t>
      </w:r>
    </w:p>
    <w:p w14:paraId="6B63A564" w14:textId="77777777" w:rsidR="00CC78BA" w:rsidRPr="00CC78BA" w:rsidRDefault="00CC78BA" w:rsidP="00CC78BA">
      <w:pPr>
        <w:pStyle w:val="Testo2"/>
      </w:pPr>
      <w:r w:rsidRPr="00CC78BA">
        <w:t>Il corso, erogato in modalità blended, prevede attività in forma residenziale (50%) ed in remoto (50%). Le attività residenziali si fondano sull’utilizzazione di lezioni interattive anche con inquadramento e analisi di casi giurisprudenziali. Le attività in remoto prevedono la fruizione di videolezioni (asicrone) con studio di problematiche oggetto di discussione mediante webinar esercitativi e feed-back-live (sincroni). Il syllabus contenente il programma analitico del corso sarà comunicato in Blackboard.</w:t>
      </w:r>
    </w:p>
    <w:p w14:paraId="68CCD600" w14:textId="77777777" w:rsidR="00CC78BA" w:rsidRPr="00CC78BA" w:rsidRDefault="00CC78BA" w:rsidP="00CC78BA">
      <w:pPr>
        <w:pStyle w:val="Testo2"/>
      </w:pPr>
      <w:r w:rsidRPr="00CC78BA">
        <w:t>Si raccomanda una costante ed assidua partcipazione interattiva ai webinar e feedback nonché alle lezioni in aula.</w:t>
      </w:r>
    </w:p>
    <w:p w14:paraId="153AB4C4" w14:textId="77777777" w:rsidR="00CC78BA" w:rsidRDefault="00CC78BA" w:rsidP="00CC78BA">
      <w:pPr>
        <w:spacing w:before="240" w:after="120"/>
        <w:rPr>
          <w:b/>
          <w:i/>
          <w:sz w:val="18"/>
        </w:rPr>
      </w:pPr>
      <w:r>
        <w:rPr>
          <w:b/>
          <w:i/>
          <w:sz w:val="18"/>
        </w:rPr>
        <w:t>METODO E CRITERI DI VALUTAZIONE</w:t>
      </w:r>
    </w:p>
    <w:p w14:paraId="083572DC" w14:textId="77777777" w:rsidR="00CC78BA" w:rsidRPr="00CC78BA" w:rsidRDefault="00CC78BA" w:rsidP="00CC78BA">
      <w:pPr>
        <w:pStyle w:val="Testo2"/>
      </w:pPr>
      <w:r w:rsidRPr="00CC78BA">
        <w:t>A.</w:t>
      </w:r>
      <w:r w:rsidRPr="00CC78BA">
        <w:tab/>
      </w:r>
      <w:r w:rsidRPr="00CC78BA">
        <w:rPr>
          <w:i/>
        </w:rPr>
        <w:t>Valutazione progressiva in itinere</w:t>
      </w:r>
    </w:p>
    <w:p w14:paraId="0584297B" w14:textId="2BF34075" w:rsidR="00CC78BA" w:rsidRPr="00CC78BA" w:rsidRDefault="00CC78BA" w:rsidP="00CC78BA">
      <w:pPr>
        <w:pStyle w:val="Testo2"/>
      </w:pPr>
      <w:r w:rsidRPr="00CC78BA">
        <w:lastRenderedPageBreak/>
        <w:t xml:space="preserve">Per gli studenti che optano per una valutazione progressiva in itinere si prevede che: il </w:t>
      </w:r>
      <w:r w:rsidR="00DE6CA7">
        <w:t>5</w:t>
      </w:r>
      <w:r w:rsidRPr="00CC78BA">
        <w:t>0% della valutazione sia effettuato mediante due prove individuali</w:t>
      </w:r>
      <w:r w:rsidR="00DE6CA7">
        <w:t>,</w:t>
      </w:r>
      <w:r w:rsidRPr="00CC78BA">
        <w:t xml:space="preserve"> di cui una d’aula</w:t>
      </w:r>
      <w:r w:rsidR="00DE6CA7">
        <w:t xml:space="preserve"> ed una da remoto,</w:t>
      </w:r>
      <w:r w:rsidRPr="00CC78BA">
        <w:t xml:space="preserve"> somministrat</w:t>
      </w:r>
      <w:r w:rsidR="00DE6CA7">
        <w:t>e</w:t>
      </w:r>
      <w:r w:rsidRPr="00CC78BA">
        <w:t xml:space="preserve"> durante lo svolgimento del corso, secondo contenuti e tempistiche che saranno pubblicati nell’area Blackboard riservata agli studenti iscritti al corso; il </w:t>
      </w:r>
      <w:r w:rsidR="00DE6CA7">
        <w:t>50</w:t>
      </w:r>
      <w:r w:rsidRPr="00CC78BA">
        <w:t>% della valutazione sia effettuato mediante prova finale orale.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3A381911" w14:textId="77777777" w:rsidR="00CC78BA" w:rsidRPr="00CC78BA" w:rsidRDefault="00CC78BA" w:rsidP="00CC78BA">
      <w:pPr>
        <w:pStyle w:val="Testo2"/>
        <w:spacing w:before="120"/>
        <w:rPr>
          <w:i/>
        </w:rPr>
      </w:pPr>
      <w:r w:rsidRPr="006C0825">
        <w:t>B.</w:t>
      </w:r>
      <w:r w:rsidRPr="00CC78BA">
        <w:rPr>
          <w:i/>
        </w:rPr>
        <w:tab/>
        <w:t>Valutazione unitaria sommativa</w:t>
      </w:r>
    </w:p>
    <w:p w14:paraId="152682A9" w14:textId="77777777" w:rsidR="00CC78BA" w:rsidRPr="00CC78BA" w:rsidRDefault="00CC78BA" w:rsidP="00CC78BA">
      <w:pPr>
        <w:pStyle w:val="Testo2"/>
      </w:pPr>
      <w:r w:rsidRPr="00CC78BA">
        <w:t>Per gli studenti che intendono optare per una valutazione unitaria in sede di appello di esame, l’esame si articola in Esame orale, preceduto da una prova scritta di selezione lo stesso giorno dell’esame orale; chi supera la prova scritta accederà all’orale.</w:t>
      </w:r>
    </w:p>
    <w:p w14:paraId="016F4CF0" w14:textId="77777777" w:rsidR="00CC78BA" w:rsidRDefault="00CC78BA" w:rsidP="00CC78BA">
      <w:pPr>
        <w:spacing w:before="240" w:after="120" w:line="240" w:lineRule="exact"/>
        <w:rPr>
          <w:b/>
          <w:i/>
          <w:sz w:val="18"/>
        </w:rPr>
      </w:pPr>
      <w:r>
        <w:rPr>
          <w:b/>
          <w:i/>
          <w:sz w:val="18"/>
        </w:rPr>
        <w:t>AVVERTENZE E PREREQUISITI</w:t>
      </w:r>
    </w:p>
    <w:p w14:paraId="25E747DD" w14:textId="77777777" w:rsidR="00CC78BA" w:rsidRPr="00CC78BA" w:rsidRDefault="00CC78BA" w:rsidP="00CC78BA">
      <w:pPr>
        <w:pStyle w:val="Testo2"/>
        <w:rPr>
          <w:i/>
        </w:rPr>
      </w:pPr>
      <w:r w:rsidRPr="00CC78BA">
        <w:rPr>
          <w:i/>
        </w:rPr>
        <w:t>Conoscenze preliminari</w:t>
      </w:r>
    </w:p>
    <w:p w14:paraId="34BCB75D" w14:textId="77777777" w:rsidR="00777D0B" w:rsidRPr="00777D0B" w:rsidRDefault="00777D0B" w:rsidP="00777D0B">
      <w:pPr>
        <w:pStyle w:val="Testo2"/>
      </w:pPr>
      <w:r w:rsidRPr="00777D0B">
        <w:t>È richiesta una conoscenza di base dei seguenti concetti giuridici:</w:t>
      </w:r>
    </w:p>
    <w:p w14:paraId="46D3341A" w14:textId="77777777" w:rsidR="00777D0B" w:rsidRPr="00777D0B" w:rsidRDefault="00777D0B" w:rsidP="00777D0B">
      <w:pPr>
        <w:pStyle w:val="Testo2"/>
        <w:ind w:left="284" w:hanging="284"/>
      </w:pPr>
      <w:r w:rsidRPr="00777D0B">
        <w:rPr>
          <w:i/>
        </w:rPr>
        <w:t>–</w:t>
      </w:r>
      <w:r w:rsidRPr="00777D0B">
        <w:rPr>
          <w:i/>
        </w:rPr>
        <w:tab/>
        <w:t>L’imprenditore</w:t>
      </w:r>
      <w:r w:rsidRPr="00777D0B">
        <w:t>. La nozione generale di imprenditore: differenza tra imprenditore commerciale e imprenditore agricolo. Capacità e impresa. Impresa individuale e impresa collettiva. Il piccolo imprenditore. Imputazione dell’attività d’impresa. Inizio e cessazione dell’impresa. Rappresentanza commerciale. Impresa e azienda. I segni distintivi dell’impresa. La concorrenza tra imprese.</w:t>
      </w:r>
    </w:p>
    <w:p w14:paraId="2F82AC51" w14:textId="77777777" w:rsidR="00777D0B" w:rsidRPr="00777D0B" w:rsidRDefault="00777D0B" w:rsidP="00777D0B">
      <w:pPr>
        <w:pStyle w:val="Testo2"/>
        <w:ind w:left="284" w:firstLine="0"/>
      </w:pPr>
      <w:r w:rsidRPr="00777D0B">
        <w:t xml:space="preserve">Gli argomenti anzidetti possono essere eventualmente approfonditi in G.F. Campobasso, </w:t>
      </w:r>
      <w:r w:rsidRPr="00777D0B">
        <w:rPr>
          <w:i/>
        </w:rPr>
        <w:t>Diritto Commerciale 1. Diritto dell’impresa</w:t>
      </w:r>
      <w:r w:rsidRPr="00777D0B">
        <w:t>, Utet, Torino, ultima ed. disponibile.</w:t>
      </w:r>
    </w:p>
    <w:p w14:paraId="43195992" w14:textId="77777777" w:rsidR="00777D0B" w:rsidRPr="00777D0B" w:rsidRDefault="00777D0B" w:rsidP="00777D0B">
      <w:pPr>
        <w:pStyle w:val="Testo2"/>
        <w:ind w:left="284" w:hanging="284"/>
      </w:pPr>
      <w:r w:rsidRPr="00777D0B">
        <w:rPr>
          <w:i/>
        </w:rPr>
        <w:t>–</w:t>
      </w:r>
      <w:r w:rsidRPr="00777D0B">
        <w:rPr>
          <w:i/>
        </w:rPr>
        <w:tab/>
        <w:t>Le società</w:t>
      </w:r>
      <w:r w:rsidRPr="00777D0B">
        <w:t>. Esercizio collettivo dell’impresa: le società. Nozione di società. Tipi di società.</w:t>
      </w:r>
    </w:p>
    <w:p w14:paraId="3E8E0E15" w14:textId="77777777" w:rsidR="00777D0B" w:rsidRPr="00777D0B" w:rsidRDefault="00777D0B" w:rsidP="00777D0B">
      <w:pPr>
        <w:pStyle w:val="Testo2"/>
        <w:ind w:left="284" w:hanging="284"/>
      </w:pPr>
      <w:r w:rsidRPr="00777D0B">
        <w:rPr>
          <w:i/>
        </w:rPr>
        <w:t>–</w:t>
      </w:r>
      <w:r w:rsidRPr="00777D0B">
        <w:rPr>
          <w:i/>
        </w:rPr>
        <w:tab/>
        <w:t>La società semplice, la società in nome collettivo e la società in accomandita semplice</w:t>
      </w:r>
      <w:r w:rsidRPr="00777D0B">
        <w:t>. La costituzione della società. L’ordinamento patrimoniale. L’attività sociale. Scioglimento del singolo rapporto sociale. Scioglimento della società.</w:t>
      </w:r>
    </w:p>
    <w:p w14:paraId="6ABEFF83" w14:textId="369D6020" w:rsidR="00777D0B" w:rsidRDefault="00777D0B" w:rsidP="00777D0B">
      <w:pPr>
        <w:pStyle w:val="Testo2"/>
        <w:tabs>
          <w:tab w:val="clear" w:pos="284"/>
        </w:tabs>
        <w:spacing w:before="120"/>
      </w:pPr>
      <w:r w:rsidRPr="00777D0B">
        <w:t xml:space="preserve">I predetti istituti giuridici possono essere approfonditi eventualmente in G.F. Campobasso, </w:t>
      </w:r>
      <w:r w:rsidRPr="00777D0B">
        <w:rPr>
          <w:i/>
        </w:rPr>
        <w:t>Diritto Commerciale 2. Diritto delle società</w:t>
      </w:r>
      <w:r w:rsidRPr="00777D0B">
        <w:t>, Torino, Utet, ultima ed. disponibile, da Cap. 1 a Cap. 3.</w:t>
      </w:r>
    </w:p>
    <w:p w14:paraId="4A280E6E" w14:textId="04EB14A3" w:rsidR="007024F3" w:rsidRDefault="007024F3" w:rsidP="007024F3">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sidR="00F44136">
        <w:rPr>
          <w:rFonts w:ascii="Gill Sans MT" w:hAnsi="Gill Sans MT" w:cs="Open Sans"/>
          <w:i/>
          <w:iCs/>
          <w:color w:val="000000"/>
          <w:sz w:val="18"/>
          <w:szCs w:val="18"/>
        </w:rPr>
        <w:t xml:space="preserve"> </w:t>
      </w:r>
      <w:r>
        <w:rPr>
          <w:i/>
          <w:iCs/>
          <w:color w:val="000000"/>
          <w:sz w:val="18"/>
          <w:szCs w:val="18"/>
        </w:rPr>
        <w:t>con modalità che verranno comunicate in tempo utile agli studenti.</w:t>
      </w:r>
    </w:p>
    <w:sectPr w:rsidR="007024F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E2A8E" w14:textId="77777777" w:rsidR="00B91795" w:rsidRDefault="00B91795" w:rsidP="00B91795">
      <w:pPr>
        <w:spacing w:line="240" w:lineRule="auto"/>
      </w:pPr>
      <w:r>
        <w:separator/>
      </w:r>
    </w:p>
  </w:endnote>
  <w:endnote w:type="continuationSeparator" w:id="0">
    <w:p w14:paraId="491059A2" w14:textId="77777777" w:rsidR="00B91795" w:rsidRDefault="00B91795" w:rsidP="00B91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onaco">
    <w:altName w:val="﷽﷽﷽﷽﷽﷽﷽㔶⥄/"/>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78B25" w14:textId="77777777" w:rsidR="00B91795" w:rsidRDefault="00B91795" w:rsidP="00B91795">
      <w:pPr>
        <w:spacing w:line="240" w:lineRule="auto"/>
      </w:pPr>
      <w:r>
        <w:separator/>
      </w:r>
    </w:p>
  </w:footnote>
  <w:footnote w:type="continuationSeparator" w:id="0">
    <w:p w14:paraId="0AF2B753" w14:textId="77777777" w:rsidR="00B91795" w:rsidRDefault="00B91795" w:rsidP="00B91795">
      <w:pPr>
        <w:spacing w:line="240" w:lineRule="auto"/>
      </w:pPr>
      <w:r>
        <w:continuationSeparator/>
      </w:r>
    </w:p>
  </w:footnote>
  <w:footnote w:id="1">
    <w:p w14:paraId="6AFB3DF8" w14:textId="210580B5" w:rsidR="00B91795" w:rsidRDefault="00B917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5A"/>
    <w:rsid w:val="00187B99"/>
    <w:rsid w:val="001F27C0"/>
    <w:rsid w:val="002014DD"/>
    <w:rsid w:val="002D5E17"/>
    <w:rsid w:val="00380EA6"/>
    <w:rsid w:val="004D1217"/>
    <w:rsid w:val="004D6008"/>
    <w:rsid w:val="00640794"/>
    <w:rsid w:val="006C0825"/>
    <w:rsid w:val="006F1772"/>
    <w:rsid w:val="007024F3"/>
    <w:rsid w:val="00777D0B"/>
    <w:rsid w:val="00893B47"/>
    <w:rsid w:val="008942E7"/>
    <w:rsid w:val="008A1204"/>
    <w:rsid w:val="00900CCA"/>
    <w:rsid w:val="00924B77"/>
    <w:rsid w:val="00940DA2"/>
    <w:rsid w:val="009E055C"/>
    <w:rsid w:val="00A74F6F"/>
    <w:rsid w:val="00AD7557"/>
    <w:rsid w:val="00B17BE6"/>
    <w:rsid w:val="00B50C5D"/>
    <w:rsid w:val="00B51253"/>
    <w:rsid w:val="00B525CC"/>
    <w:rsid w:val="00B91795"/>
    <w:rsid w:val="00CB7D41"/>
    <w:rsid w:val="00CC78BA"/>
    <w:rsid w:val="00CD61E7"/>
    <w:rsid w:val="00D404F2"/>
    <w:rsid w:val="00D54816"/>
    <w:rsid w:val="00DE6CA7"/>
    <w:rsid w:val="00E238E0"/>
    <w:rsid w:val="00E607E6"/>
    <w:rsid w:val="00F44136"/>
    <w:rsid w:val="00F96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6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CC78BA"/>
    <w:rPr>
      <w:b/>
      <w:bCs/>
    </w:rPr>
  </w:style>
  <w:style w:type="paragraph" w:customStyle="1" w:styleId="WPNormal">
    <w:name w:val="WP_Normal"/>
    <w:basedOn w:val="Normale"/>
    <w:rsid w:val="00E238E0"/>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B91795"/>
    <w:pPr>
      <w:spacing w:line="240" w:lineRule="auto"/>
    </w:pPr>
    <w:rPr>
      <w:szCs w:val="20"/>
    </w:rPr>
  </w:style>
  <w:style w:type="character" w:customStyle="1" w:styleId="TestonotaapidipaginaCarattere">
    <w:name w:val="Testo nota a piè di pagina Carattere"/>
    <w:basedOn w:val="Carpredefinitoparagrafo"/>
    <w:link w:val="Testonotaapidipagina"/>
    <w:rsid w:val="00B91795"/>
  </w:style>
  <w:style w:type="character" w:styleId="Rimandonotaapidipagina">
    <w:name w:val="footnote reference"/>
    <w:basedOn w:val="Carpredefinitoparagrafo"/>
    <w:rsid w:val="00B91795"/>
    <w:rPr>
      <w:vertAlign w:val="superscript"/>
    </w:rPr>
  </w:style>
  <w:style w:type="character" w:styleId="Collegamentoipertestuale">
    <w:name w:val="Hyperlink"/>
    <w:basedOn w:val="Carpredefinitoparagrafo"/>
    <w:rsid w:val="00B917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CC78BA"/>
    <w:rPr>
      <w:b/>
      <w:bCs/>
    </w:rPr>
  </w:style>
  <w:style w:type="paragraph" w:customStyle="1" w:styleId="WPNormal">
    <w:name w:val="WP_Normal"/>
    <w:basedOn w:val="Normale"/>
    <w:rsid w:val="00E238E0"/>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B91795"/>
    <w:pPr>
      <w:spacing w:line="240" w:lineRule="auto"/>
    </w:pPr>
    <w:rPr>
      <w:szCs w:val="20"/>
    </w:rPr>
  </w:style>
  <w:style w:type="character" w:customStyle="1" w:styleId="TestonotaapidipaginaCarattere">
    <w:name w:val="Testo nota a piè di pagina Carattere"/>
    <w:basedOn w:val="Carpredefinitoparagrafo"/>
    <w:link w:val="Testonotaapidipagina"/>
    <w:rsid w:val="00B91795"/>
  </w:style>
  <w:style w:type="character" w:styleId="Rimandonotaapidipagina">
    <w:name w:val="footnote reference"/>
    <w:basedOn w:val="Carpredefinitoparagrafo"/>
    <w:rsid w:val="00B91795"/>
    <w:rPr>
      <w:vertAlign w:val="superscript"/>
    </w:rPr>
  </w:style>
  <w:style w:type="character" w:styleId="Collegamentoipertestuale">
    <w:name w:val="Hyperlink"/>
    <w:basedOn w:val="Carpredefinitoparagrafo"/>
    <w:rsid w:val="00B91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franco-campobasso/diritto-commerciale-9788859822424-68934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ssimiliano-pacifico-adolfo-di-majo/codice-civile-con-la-costituzione-i-trattati-ue-e-le-principali-norme-complementari-9788828828952-693250.html" TargetMode="External"/><Relationship Id="rId5" Type="http://schemas.openxmlformats.org/officeDocument/2006/relationships/webSettings" Target="webSettings.xml"/><Relationship Id="rId10" Type="http://schemas.openxmlformats.org/officeDocument/2006/relationships/hyperlink" Target="https://librerie.unicatt.it/scheda-libro/giorgio-de-nova/codice-civile-e-leggi-collegate-2021-9788808932990-697348.html" TargetMode="External"/><Relationship Id="rId4" Type="http://schemas.openxmlformats.org/officeDocument/2006/relationships/settings" Target="settings.xml"/><Relationship Id="rId9" Type="http://schemas.openxmlformats.org/officeDocument/2006/relationships/hyperlink" Target="https://librerie.unicatt.it/scheda-libro/carmelo-massimo-de-iuliis/norme-e-schemi-di-diritto-delle-societa-di-capitali-9788892135567-6915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D778-409F-42E2-B9E2-400D0741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1061</Words>
  <Characters>7477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2021-05-11T16:22:00Z</dcterms:created>
  <dcterms:modified xsi:type="dcterms:W3CDTF">2021-06-30T09:00:00Z</dcterms:modified>
</cp:coreProperties>
</file>