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69C34" w14:textId="77777777" w:rsidR="00872C4F" w:rsidRPr="00D51E42" w:rsidRDefault="00872C4F" w:rsidP="00872C4F">
      <w:pPr>
        <w:pStyle w:val="Titolo1"/>
      </w:pPr>
      <w:r w:rsidRPr="00D51E42">
        <w:t>Diritto commerciale</w:t>
      </w:r>
    </w:p>
    <w:p w14:paraId="052364D0" w14:textId="77777777" w:rsidR="00872C4F" w:rsidRDefault="00872C4F" w:rsidP="00872C4F">
      <w:pPr>
        <w:pStyle w:val="Titolo2"/>
      </w:pPr>
      <w:r>
        <w:t xml:space="preserve">Prof. </w:t>
      </w:r>
      <w:r w:rsidR="00A70751">
        <w:t>Amedeo Valzer</w:t>
      </w:r>
    </w:p>
    <w:p w14:paraId="39DF44F2" w14:textId="77777777" w:rsidR="00872C4F" w:rsidRDefault="00872C4F" w:rsidP="00872C4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A70751">
        <w:rPr>
          <w:b/>
          <w:i/>
          <w:sz w:val="18"/>
        </w:rPr>
        <w:t xml:space="preserve"> E RISULTATI DI APPRENDIMENTO ATTESI</w:t>
      </w:r>
    </w:p>
    <w:p w14:paraId="4564D965" w14:textId="77777777" w:rsidR="00A70751" w:rsidRPr="00227E4B" w:rsidRDefault="00A70751" w:rsidP="00A70751">
      <w:r w:rsidRPr="00227E4B">
        <w:t xml:space="preserve">Il corso si propone di illustrare la disciplina giuridica dell’attività produttiva di tipo imprenditoriale condotta in forma individuale e collettiva. Particolare attenzione sarà riservata alla disciplina dell’impresa societaria. </w:t>
      </w:r>
    </w:p>
    <w:p w14:paraId="48F4DD98" w14:textId="77777777" w:rsidR="00A70751" w:rsidRPr="00227E4B" w:rsidRDefault="00A70751" w:rsidP="00A70751">
      <w:r w:rsidRPr="00227E4B">
        <w:t>Al termine del corso lo studente:</w:t>
      </w:r>
    </w:p>
    <w:p w14:paraId="74E5EB41" w14:textId="77777777" w:rsidR="00A70751" w:rsidRPr="00227E4B" w:rsidRDefault="00A70751" w:rsidP="00A70751">
      <w:pPr>
        <w:ind w:left="284" w:hanging="284"/>
      </w:pPr>
      <w:r>
        <w:t>1.</w:t>
      </w:r>
      <w:r>
        <w:tab/>
      </w:r>
      <w:r w:rsidRPr="00227E4B">
        <w:t>saprà rilevare e inquadrare i profili di diritto dell’impresa oggetto del programma del corso;</w:t>
      </w:r>
    </w:p>
    <w:p w14:paraId="337F110E" w14:textId="77777777" w:rsidR="00A70751" w:rsidRPr="00227E4B" w:rsidRDefault="00A70751" w:rsidP="00A70751">
      <w:pPr>
        <w:ind w:left="284" w:hanging="284"/>
      </w:pPr>
      <w:r>
        <w:t>2.</w:t>
      </w:r>
      <w:r>
        <w:tab/>
      </w:r>
      <w:r w:rsidRPr="00227E4B">
        <w:t>acquisirà un linguaggio giuridico appropriato e sarà in grado di trasmettere le proprie conoscenze in modo preciso, chiaro ed efficace;</w:t>
      </w:r>
    </w:p>
    <w:p w14:paraId="2CBE040E" w14:textId="5AFBB644" w:rsidR="00A70751" w:rsidRPr="00227E4B" w:rsidRDefault="00A70751" w:rsidP="00A70751">
      <w:pPr>
        <w:ind w:left="284" w:hanging="284"/>
      </w:pPr>
      <w:r>
        <w:t>3.</w:t>
      </w:r>
      <w:r>
        <w:tab/>
      </w:r>
      <w:r w:rsidRPr="00227E4B">
        <w:t>saprà individuare le fonti normative rilevanti nell’esame del caso concreto, nonché i pertinenti riferimenti giurisprudenziali e di prassi e, conseguentemente, sarà in grado di formulare giudizi e valutazioni con adeguata autonomia;</w:t>
      </w:r>
    </w:p>
    <w:p w14:paraId="10AE48E2" w14:textId="77777777" w:rsidR="00A70751" w:rsidRPr="00227E4B" w:rsidRDefault="00A70751" w:rsidP="00A70751">
      <w:pPr>
        <w:ind w:left="284" w:hanging="284"/>
      </w:pPr>
      <w:r>
        <w:t>4.</w:t>
      </w:r>
      <w:r>
        <w:tab/>
      </w:r>
      <w:r w:rsidRPr="00227E4B">
        <w:t>consoliderà le basi necessarie per approfondire gli studi nei diversi settori del diritto dell’impresa.</w:t>
      </w:r>
    </w:p>
    <w:p w14:paraId="092EB7A2" w14:textId="77777777" w:rsidR="00872C4F" w:rsidRDefault="00872C4F" w:rsidP="00872C4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04777CC" w14:textId="77777777" w:rsidR="00A70751" w:rsidRPr="00227E4B" w:rsidRDefault="00A70751" w:rsidP="00A70751">
      <w:r w:rsidRPr="00227E4B">
        <w:rPr>
          <w:i/>
        </w:rPr>
        <w:t>L’impresa</w:t>
      </w:r>
      <w:r w:rsidRPr="00227E4B">
        <w:t>. La nozione di impresa rilevante per il diritto commerciale. Lo statuto dell’impresa commerciale. La pubblicità commerciale e l’organizzazione dell’impresa (scritture contabili, collaboratori e azienda). La cooperazione tra imprenditori. La crisi dell’impresa (cenni).</w:t>
      </w:r>
    </w:p>
    <w:p w14:paraId="30CBC4EC" w14:textId="32E03FCD" w:rsidR="00A70751" w:rsidRPr="00227E4B" w:rsidRDefault="00A70751" w:rsidP="00A70751">
      <w:pPr>
        <w:spacing w:before="120"/>
      </w:pPr>
      <w:r w:rsidRPr="00227E4B">
        <w:rPr>
          <w:i/>
        </w:rPr>
        <w:t>L’impresa societaria.</w:t>
      </w:r>
      <w:r w:rsidRPr="00227E4B">
        <w:t xml:space="preserve"> La nozione di società e i principi generali. Patrimonio sociale e capitale sociale; l’attività economica; lo scopo-fine delle società. – Le società di persone: caratteristiche tipologiche e organizzative della società semplice, della società in nome collettivo e della società in accomandita semplice. Costituzione, disciplina del patrimonio e disciplina della responsabilità per le obbligazioni sociali. Rapporti tra soci e amministrazione della società. Scioglimento del rapporto sociale e scioglimento della società. – Le società di capitali: caratteristiche tipologiche e organizzative della società a responsabilità limitata, della società per azioni e della società in accomandita per azioni. Costituzione e disciplina delle partecipazioni sociali. L’articolazione della struttura finanziaria. </w:t>
      </w:r>
      <w:r w:rsidR="009F12A2">
        <w:t>S</w:t>
      </w:r>
      <w:r w:rsidRPr="00227E4B">
        <w:t>istemi di amministrazione e controllo. Scioglimento e liquidazione delle società di capitali. – I gruppi di imprese – Le società con scopo mutualistico (cenni). Le operazioni straordinarie (cenni).</w:t>
      </w:r>
    </w:p>
    <w:p w14:paraId="144E5639" w14:textId="77777777" w:rsidR="00872C4F" w:rsidRPr="003B6C3C" w:rsidRDefault="00872C4F" w:rsidP="00872C4F">
      <w:pPr>
        <w:spacing w:before="240" w:after="120"/>
        <w:rPr>
          <w:b/>
          <w:i/>
          <w:sz w:val="18"/>
          <w:szCs w:val="18"/>
        </w:rPr>
      </w:pPr>
      <w:r w:rsidRPr="003B6C3C">
        <w:rPr>
          <w:b/>
          <w:i/>
          <w:sz w:val="18"/>
          <w:szCs w:val="18"/>
        </w:rPr>
        <w:lastRenderedPageBreak/>
        <w:t>BIBLIOGRAFIA</w:t>
      </w:r>
      <w:r w:rsidR="00966924" w:rsidRPr="003B6C3C">
        <w:rPr>
          <w:rStyle w:val="Rimandonotaapidipagina"/>
          <w:b/>
          <w:i/>
          <w:sz w:val="18"/>
          <w:szCs w:val="18"/>
        </w:rPr>
        <w:footnoteReference w:id="1"/>
      </w:r>
    </w:p>
    <w:p w14:paraId="0A1BA775" w14:textId="34B0DC10" w:rsidR="00774B68" w:rsidRPr="003B6C3C" w:rsidRDefault="00AC251A" w:rsidP="00BA0C44">
      <w:pPr>
        <w:pStyle w:val="Testo1"/>
        <w:spacing w:line="240" w:lineRule="atLeast"/>
        <w:rPr>
          <w:rFonts w:ascii="Times New Roman" w:hAnsi="Times New Roman"/>
          <w:i/>
          <w:color w:val="0000FF" w:themeColor="hyperlink"/>
          <w:szCs w:val="18"/>
          <w:u w:val="single"/>
        </w:rPr>
      </w:pPr>
      <w:r w:rsidRPr="00BA0C44">
        <w:rPr>
          <w:smallCaps/>
          <w:spacing w:val="-5"/>
          <w:sz w:val="16"/>
          <w:szCs w:val="18"/>
        </w:rPr>
        <w:t xml:space="preserve">M. Cian </w:t>
      </w:r>
      <w:r w:rsidRPr="003B6C3C">
        <w:rPr>
          <w:smallCaps/>
          <w:spacing w:val="-5"/>
          <w:szCs w:val="18"/>
        </w:rPr>
        <w:t>(</w:t>
      </w:r>
      <w:r w:rsidRPr="003B6C3C">
        <w:rPr>
          <w:szCs w:val="18"/>
        </w:rPr>
        <w:t>a cura di</w:t>
      </w:r>
      <w:r w:rsidRPr="003B6C3C">
        <w:rPr>
          <w:smallCaps/>
          <w:spacing w:val="-5"/>
          <w:szCs w:val="18"/>
        </w:rPr>
        <w:t>),</w:t>
      </w:r>
      <w:r w:rsidRPr="003B6C3C">
        <w:rPr>
          <w:i/>
          <w:spacing w:val="-5"/>
          <w:szCs w:val="18"/>
        </w:rPr>
        <w:t xml:space="preserve"> Manuale di diritto commerciale,</w:t>
      </w:r>
      <w:r w:rsidRPr="003B6C3C">
        <w:rPr>
          <w:spacing w:val="-5"/>
          <w:szCs w:val="18"/>
        </w:rPr>
        <w:t xml:space="preserve"> Giappichelli, Torino, 2019 (o eventuale edizione più recente), limitatamente alle seguenti parti: dalla Introduzione alla Sezione </w:t>
      </w:r>
      <w:r w:rsidR="00AE53E2" w:rsidRPr="003B6C3C">
        <w:rPr>
          <w:spacing w:val="-5"/>
          <w:szCs w:val="18"/>
        </w:rPr>
        <w:t xml:space="preserve">Quarta </w:t>
      </w:r>
      <w:r w:rsidRPr="003B6C3C">
        <w:rPr>
          <w:spacing w:val="-5"/>
          <w:szCs w:val="18"/>
        </w:rPr>
        <w:t xml:space="preserve">compresa (§§ 1- </w:t>
      </w:r>
      <w:r w:rsidR="009F12A2">
        <w:rPr>
          <w:spacing w:val="-5"/>
          <w:szCs w:val="18"/>
        </w:rPr>
        <w:t>9</w:t>
      </w:r>
      <w:r w:rsidRPr="003B6C3C">
        <w:rPr>
          <w:spacing w:val="-5"/>
          <w:szCs w:val="18"/>
        </w:rPr>
        <w:t xml:space="preserve">; pagg. 1-82); Sezioni </w:t>
      </w:r>
      <w:r w:rsidR="00AE53E2" w:rsidRPr="003B6C3C">
        <w:rPr>
          <w:spacing w:val="-5"/>
          <w:szCs w:val="18"/>
        </w:rPr>
        <w:t xml:space="preserve">Sesta </w:t>
      </w:r>
      <w:r w:rsidRPr="003B6C3C">
        <w:rPr>
          <w:spacing w:val="-5"/>
          <w:szCs w:val="18"/>
        </w:rPr>
        <w:t xml:space="preserve">e </w:t>
      </w:r>
      <w:r w:rsidR="00AE53E2" w:rsidRPr="003B6C3C">
        <w:rPr>
          <w:spacing w:val="-5"/>
          <w:szCs w:val="18"/>
        </w:rPr>
        <w:t xml:space="preserve">Settima </w:t>
      </w:r>
      <w:r w:rsidRPr="003B6C3C">
        <w:rPr>
          <w:spacing w:val="-5"/>
          <w:szCs w:val="18"/>
        </w:rPr>
        <w:t>(§§ 19-21; pagg. 1</w:t>
      </w:r>
      <w:r w:rsidR="009F12A2">
        <w:rPr>
          <w:spacing w:val="-5"/>
          <w:szCs w:val="18"/>
        </w:rPr>
        <w:t>6</w:t>
      </w:r>
      <w:r w:rsidRPr="003B6C3C">
        <w:rPr>
          <w:spacing w:val="-5"/>
          <w:szCs w:val="18"/>
        </w:rPr>
        <w:t xml:space="preserve">1-192); dalla Sezione </w:t>
      </w:r>
      <w:r w:rsidR="00AE53E2" w:rsidRPr="003B6C3C">
        <w:rPr>
          <w:spacing w:val="-5"/>
          <w:szCs w:val="18"/>
        </w:rPr>
        <w:t xml:space="preserve">Nona </w:t>
      </w:r>
      <w:r w:rsidRPr="003B6C3C">
        <w:rPr>
          <w:spacing w:val="-5"/>
          <w:szCs w:val="18"/>
        </w:rPr>
        <w:t xml:space="preserve">alla Sezione </w:t>
      </w:r>
      <w:r w:rsidR="00AE53E2" w:rsidRPr="003B6C3C">
        <w:rPr>
          <w:spacing w:val="-5"/>
          <w:szCs w:val="18"/>
        </w:rPr>
        <w:t xml:space="preserve">Sedicesima </w:t>
      </w:r>
      <w:r w:rsidRPr="003B6C3C">
        <w:rPr>
          <w:spacing w:val="-5"/>
          <w:szCs w:val="18"/>
        </w:rPr>
        <w:t>(§§ 35-69; pagg. 307-674)</w:t>
      </w:r>
      <w:r w:rsidR="00BA0C44">
        <w:rPr>
          <w:rFonts w:ascii="Times New Roman" w:hAnsi="Times New Roman"/>
          <w:i/>
          <w:color w:val="0000FF" w:themeColor="hyperlink"/>
          <w:szCs w:val="18"/>
          <w:u w:val="single"/>
        </w:rPr>
        <w:t>.</w:t>
      </w:r>
      <w:r w:rsidR="0098437B">
        <w:rPr>
          <w:rFonts w:ascii="Times New Roman" w:hAnsi="Times New Roman"/>
          <w:i/>
          <w:color w:val="0000FF" w:themeColor="hyperlink"/>
          <w:szCs w:val="18"/>
          <w:u w:val="single"/>
        </w:rPr>
        <w:t xml:space="preserve"> </w:t>
      </w:r>
      <w:hyperlink r:id="rId9" w:history="1">
        <w:r w:rsidR="0098437B" w:rsidRPr="0098437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1F3E3AE" w14:textId="77777777" w:rsidR="00872C4F" w:rsidRPr="003B6C3C" w:rsidRDefault="00872C4F" w:rsidP="00872C4F">
      <w:pPr>
        <w:spacing w:before="240" w:after="120" w:line="220" w:lineRule="exact"/>
        <w:rPr>
          <w:b/>
          <w:i/>
          <w:sz w:val="18"/>
          <w:szCs w:val="18"/>
        </w:rPr>
      </w:pPr>
      <w:r w:rsidRPr="003B6C3C">
        <w:rPr>
          <w:b/>
          <w:i/>
          <w:sz w:val="18"/>
          <w:szCs w:val="18"/>
        </w:rPr>
        <w:t>DIDATTICA DEL CORSO</w:t>
      </w:r>
    </w:p>
    <w:p w14:paraId="6472828B" w14:textId="77777777" w:rsidR="00774B68" w:rsidRPr="003B6C3C" w:rsidRDefault="00774B68" w:rsidP="009F12A2">
      <w:pPr>
        <w:pStyle w:val="Testo1"/>
        <w:ind w:firstLine="0"/>
        <w:rPr>
          <w:szCs w:val="18"/>
        </w:rPr>
      </w:pPr>
      <w:r w:rsidRPr="003B6C3C">
        <w:rPr>
          <w:szCs w:val="18"/>
        </w:rPr>
        <w:t>Lezioni frontali.</w:t>
      </w:r>
    </w:p>
    <w:p w14:paraId="180703C3" w14:textId="77777777" w:rsidR="00A70751" w:rsidRPr="003B6C3C" w:rsidRDefault="00A70751" w:rsidP="00A70751">
      <w:pPr>
        <w:pStyle w:val="Testo1"/>
        <w:rPr>
          <w:szCs w:val="18"/>
        </w:rPr>
      </w:pPr>
      <w:r w:rsidRPr="003B6C3C">
        <w:rPr>
          <w:szCs w:val="18"/>
        </w:rPr>
        <w:t xml:space="preserve">Alla trattazione teorica delle problematiche </w:t>
      </w:r>
      <w:r w:rsidR="00774B68" w:rsidRPr="003B6C3C">
        <w:rPr>
          <w:szCs w:val="18"/>
        </w:rPr>
        <w:t>di</w:t>
      </w:r>
      <w:r w:rsidRPr="003B6C3C">
        <w:rPr>
          <w:szCs w:val="18"/>
        </w:rPr>
        <w:t xml:space="preserve"> diritto </w:t>
      </w:r>
      <w:r w:rsidR="00774B68" w:rsidRPr="003B6C3C">
        <w:rPr>
          <w:szCs w:val="18"/>
        </w:rPr>
        <w:t xml:space="preserve">affrontate </w:t>
      </w:r>
      <w:r w:rsidRPr="003B6C3C">
        <w:rPr>
          <w:szCs w:val="18"/>
        </w:rPr>
        <w:t>verrà affiancata l’analisi di alcuni profili applicativi.</w:t>
      </w:r>
    </w:p>
    <w:p w14:paraId="60280D94" w14:textId="77777777" w:rsidR="00872C4F" w:rsidRDefault="00872C4F" w:rsidP="00872C4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A70751">
        <w:rPr>
          <w:b/>
          <w:i/>
          <w:sz w:val="18"/>
        </w:rPr>
        <w:t xml:space="preserve"> E CRITERI </w:t>
      </w:r>
      <w:r>
        <w:rPr>
          <w:b/>
          <w:i/>
          <w:sz w:val="18"/>
        </w:rPr>
        <w:t>DI VALUTAZIONE</w:t>
      </w:r>
    </w:p>
    <w:p w14:paraId="7B9DDA60" w14:textId="530D8365" w:rsidR="00C94A09" w:rsidRDefault="00A70751" w:rsidP="00C94A09">
      <w:pPr>
        <w:pStyle w:val="Testo2"/>
      </w:pPr>
      <w:r w:rsidRPr="00227E4B">
        <w:t xml:space="preserve">La prova d’esame si </w:t>
      </w:r>
      <w:r w:rsidR="00774B68">
        <w:t>concreta in un</w:t>
      </w:r>
      <w:r w:rsidR="009F12A2">
        <w:t>’</w:t>
      </w:r>
      <w:r w:rsidR="00774B68">
        <w:t>interrogazione</w:t>
      </w:r>
      <w:r w:rsidRPr="00227E4B">
        <w:t xml:space="preserve"> orale</w:t>
      </w:r>
      <w:r w:rsidR="00774B68">
        <w:t>. Essa</w:t>
      </w:r>
      <w:r w:rsidRPr="00227E4B">
        <w:t xml:space="preserve"> consiste in una serie di domande</w:t>
      </w:r>
      <w:r w:rsidR="00774B68">
        <w:t xml:space="preserve"> (non meno di tre)</w:t>
      </w:r>
      <w:r w:rsidRPr="00227E4B">
        <w:t xml:space="preserve"> sulle varie parti del programma del corso,</w:t>
      </w:r>
      <w:r w:rsidR="00774B68">
        <w:t xml:space="preserve"> </w:t>
      </w:r>
      <w:r w:rsidR="00774B68" w:rsidRPr="00774B68">
        <w:t xml:space="preserve">in base </w:t>
      </w:r>
      <w:r w:rsidR="009F12A2">
        <w:t>alla bibliografia so</w:t>
      </w:r>
      <w:r w:rsidR="00774B68" w:rsidRPr="00774B68">
        <w:t>pra indicat</w:t>
      </w:r>
      <w:r w:rsidR="009F12A2">
        <w:t>a</w:t>
      </w:r>
      <w:r w:rsidR="00774B68">
        <w:t>. Le domande sono</w:t>
      </w:r>
      <w:r w:rsidRPr="00227E4B">
        <w:t xml:space="preserve"> finalizzate ad accertare e valutare le competenze acquisite dagli studenti in punto di nozioni e conoscenza della materia, proprietà di linguaggio e capacità di analisi critica degli istituti.</w:t>
      </w:r>
    </w:p>
    <w:p w14:paraId="71CF9F7D" w14:textId="77777777" w:rsidR="00C94A09" w:rsidRDefault="00C94A09" w:rsidP="00C94A09">
      <w:pPr>
        <w:pStyle w:val="Testo2"/>
      </w:pPr>
      <w:r>
        <w:t>I criteri per l’attribuzione del voto finale sono i seguenti:</w:t>
      </w:r>
    </w:p>
    <w:p w14:paraId="4526801C" w14:textId="2B6ED76F" w:rsidR="00C94A09" w:rsidRDefault="00C94A09" w:rsidP="00C94A09">
      <w:pPr>
        <w:pStyle w:val="Testo2"/>
        <w:tabs>
          <w:tab w:val="left" w:pos="426"/>
        </w:tabs>
      </w:pPr>
      <w:r>
        <w:t>-</w:t>
      </w:r>
      <w:r>
        <w:tab/>
        <w:t>conoscenza approfondita dei temi, proprietà di linguaggio</w:t>
      </w:r>
      <w:r w:rsidR="002B4937">
        <w:t xml:space="preserve"> e</w:t>
      </w:r>
      <w:r>
        <w:t xml:space="preserve"> sviluppata capacità di riferimenti sistematici condurranno ad una valutazione in termini di eccellenza (da 2</w:t>
      </w:r>
      <w:r w:rsidR="002B4937">
        <w:t>7</w:t>
      </w:r>
      <w:r>
        <w:t>/30 a 30/30 ed eventuale lode);</w:t>
      </w:r>
    </w:p>
    <w:p w14:paraId="710D9C31" w14:textId="77777777" w:rsidR="00C94A09" w:rsidRDefault="00C94A09" w:rsidP="00C94A09">
      <w:pPr>
        <w:pStyle w:val="Testo2"/>
        <w:tabs>
          <w:tab w:val="left" w:pos="426"/>
        </w:tabs>
      </w:pPr>
      <w:r>
        <w:t>-</w:t>
      </w:r>
      <w:r>
        <w:tab/>
        <w:t>buona capacità di analisi e di sintesi e proprietà di linguaggio porteranno a valutazioni discrete/buone (da 22/30 a 26/30), con differenziazione del voto in ragione del grado di approfondimento dimostrato in sede di esame;</w:t>
      </w:r>
    </w:p>
    <w:p w14:paraId="322E04D4" w14:textId="77777777" w:rsidR="00C94A09" w:rsidRDefault="00C94A09" w:rsidP="00C94A09">
      <w:pPr>
        <w:pStyle w:val="Testo2"/>
        <w:tabs>
          <w:tab w:val="left" w:pos="426"/>
        </w:tabs>
      </w:pPr>
      <w:r>
        <w:t>-</w:t>
      </w:r>
      <w:r>
        <w:tab/>
        <w:t>una conoscenza di tipo basilare del programma verrà valutata in termini di sufficienza (da 18/30 a 21/30);</w:t>
      </w:r>
    </w:p>
    <w:p w14:paraId="2A7C0AC4" w14:textId="77777777" w:rsidR="00A70751" w:rsidRDefault="00C94A09" w:rsidP="00C94A09">
      <w:pPr>
        <w:pStyle w:val="Testo2"/>
        <w:tabs>
          <w:tab w:val="left" w:pos="426"/>
        </w:tabs>
      </w:pPr>
      <w:r>
        <w:t>-</w:t>
      </w:r>
      <w:r>
        <w:tab/>
        <w:t>il rilievo di lacune formative gravi, l’aver trascurato una parte del programma, l’utilizzo di un linguaggio scorretto saranno valutati negativamente.</w:t>
      </w:r>
    </w:p>
    <w:p w14:paraId="73B5BB32" w14:textId="77777777" w:rsidR="00872C4F" w:rsidRDefault="00872C4F" w:rsidP="00872C4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A70751">
        <w:rPr>
          <w:b/>
          <w:i/>
          <w:sz w:val="18"/>
        </w:rPr>
        <w:t xml:space="preserve"> E PREREQUISITI</w:t>
      </w:r>
    </w:p>
    <w:p w14:paraId="1DDB5DA2" w14:textId="77777777" w:rsidR="00A70751" w:rsidRPr="00227E4B" w:rsidRDefault="00A70751" w:rsidP="00A70751">
      <w:pPr>
        <w:pStyle w:val="Testo2"/>
        <w:rPr>
          <w:b/>
        </w:rPr>
      </w:pPr>
      <w:r w:rsidRPr="00227E4B">
        <w:rPr>
          <w:rFonts w:eastAsia="MS Mincho"/>
        </w:rPr>
        <w:t>Il corso presuppone un’adeguata conoscenza del diritto privato</w:t>
      </w:r>
      <w:r w:rsidRPr="00227E4B">
        <w:rPr>
          <w:b/>
        </w:rPr>
        <w:t>.</w:t>
      </w:r>
    </w:p>
    <w:p w14:paraId="03A3DC0F" w14:textId="6AFD366E" w:rsidR="00A70751" w:rsidRDefault="00A70751" w:rsidP="00A70751">
      <w:pPr>
        <w:pStyle w:val="Testo2"/>
      </w:pPr>
      <w:r w:rsidRPr="00227E4B">
        <w:t>Si raccomanda vivamente, ai fini dello studio della materia, l’uso di un codice civile con le leggi collegate aggiornato all’anno di corso.</w:t>
      </w:r>
    </w:p>
    <w:p w14:paraId="0F1E1C7D" w14:textId="32C145D5" w:rsidR="00BA0C44" w:rsidRPr="00227E4B" w:rsidRDefault="00BA0C44" w:rsidP="00BA0C44">
      <w:pPr>
        <w:pStyle w:val="Testo2"/>
      </w:pPr>
      <w:r w:rsidRPr="00BA0C44">
        <w:t xml:space="preserve">Nel caso in cui la situazione sanitaria relativa alla pandemia di Covid-19 non dovesse consentire la didattica in presenza, sarà garantita l’erogazione dell’insegnamento in </w:t>
      </w:r>
      <w:r w:rsidRPr="002B4937">
        <w:rPr>
          <w:i/>
          <w:iCs/>
        </w:rPr>
        <w:t>distance learning</w:t>
      </w:r>
      <w:r w:rsidRPr="00BA0C44">
        <w:t xml:space="preserve"> con modalità che verranno comunicate in tempo utile agli studenti.</w:t>
      </w:r>
    </w:p>
    <w:p w14:paraId="403DD483" w14:textId="77777777" w:rsidR="00A70751" w:rsidRPr="00A70751" w:rsidRDefault="00A70751" w:rsidP="00A70751">
      <w:pPr>
        <w:pStyle w:val="Testo2"/>
        <w:spacing w:before="120"/>
        <w:rPr>
          <w:rFonts w:eastAsia="MS Mincho"/>
          <w:i/>
        </w:rPr>
      </w:pPr>
      <w:r w:rsidRPr="00A70751">
        <w:rPr>
          <w:rFonts w:eastAsia="MS Mincho"/>
          <w:i/>
        </w:rPr>
        <w:t xml:space="preserve">Orario </w:t>
      </w:r>
      <w:r>
        <w:rPr>
          <w:rFonts w:eastAsia="MS Mincho"/>
          <w:i/>
        </w:rPr>
        <w:t>e</w:t>
      </w:r>
      <w:r w:rsidRPr="00A70751">
        <w:rPr>
          <w:rFonts w:eastAsia="MS Mincho"/>
          <w:i/>
        </w:rPr>
        <w:t xml:space="preserve"> </w:t>
      </w:r>
      <w:r>
        <w:rPr>
          <w:rFonts w:eastAsia="MS Mincho"/>
          <w:i/>
        </w:rPr>
        <w:t>l</w:t>
      </w:r>
      <w:r w:rsidRPr="00A70751">
        <w:rPr>
          <w:rFonts w:eastAsia="MS Mincho"/>
          <w:i/>
        </w:rPr>
        <w:t xml:space="preserve">uogo </w:t>
      </w:r>
      <w:r>
        <w:rPr>
          <w:rFonts w:eastAsia="MS Mincho"/>
          <w:i/>
        </w:rPr>
        <w:t>d</w:t>
      </w:r>
      <w:r w:rsidRPr="00A70751">
        <w:rPr>
          <w:rFonts w:eastAsia="MS Mincho"/>
          <w:i/>
        </w:rPr>
        <w:t xml:space="preserve">i </w:t>
      </w:r>
      <w:r>
        <w:rPr>
          <w:rFonts w:eastAsia="MS Mincho"/>
          <w:i/>
        </w:rPr>
        <w:t>r</w:t>
      </w:r>
      <w:r w:rsidRPr="00A70751">
        <w:rPr>
          <w:rFonts w:eastAsia="MS Mincho"/>
          <w:i/>
        </w:rPr>
        <w:t xml:space="preserve">icevimento </w:t>
      </w:r>
    </w:p>
    <w:p w14:paraId="1F0E6DC0" w14:textId="77777777" w:rsidR="00A70751" w:rsidRPr="00227E4B" w:rsidRDefault="00A70751" w:rsidP="00A70751">
      <w:pPr>
        <w:pStyle w:val="Testo2"/>
      </w:pPr>
      <w:r w:rsidRPr="00227E4B">
        <w:lastRenderedPageBreak/>
        <w:t xml:space="preserve">Gli orari di ricevimento sono disponibili </w:t>
      </w:r>
      <w:r w:rsidRPr="002B4937">
        <w:rPr>
          <w:i/>
          <w:iCs/>
        </w:rPr>
        <w:t>on line</w:t>
      </w:r>
      <w:r w:rsidRPr="00227E4B">
        <w:t xml:space="preserve"> nella pagina personale del docente, consulta</w:t>
      </w:r>
      <w:r w:rsidRPr="00A70751">
        <w:t xml:space="preserve">bile al sito </w:t>
      </w:r>
      <w:hyperlink r:id="rId10" w:history="1">
        <w:r w:rsidRPr="00A70751">
          <w:rPr>
            <w:rStyle w:val="Collegamentoipertestuale"/>
            <w:color w:val="auto"/>
            <w:u w:val="none"/>
          </w:rPr>
          <w:t>http://docenti.unicatt.it/</w:t>
        </w:r>
      </w:hyperlink>
    </w:p>
    <w:sectPr w:rsidR="00A70751" w:rsidRPr="00227E4B" w:rsidSect="004D1217">
      <w:headerReference w:type="default" r:id="rId11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E5E3F" w14:textId="77777777" w:rsidR="00471494" w:rsidRDefault="00471494" w:rsidP="00872C4F">
      <w:pPr>
        <w:spacing w:line="240" w:lineRule="auto"/>
      </w:pPr>
      <w:r>
        <w:separator/>
      </w:r>
    </w:p>
  </w:endnote>
  <w:endnote w:type="continuationSeparator" w:id="0">
    <w:p w14:paraId="26050A2B" w14:textId="77777777" w:rsidR="00471494" w:rsidRDefault="00471494" w:rsidP="00872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70631" w14:textId="77777777" w:rsidR="00471494" w:rsidRDefault="00471494" w:rsidP="00872C4F">
      <w:pPr>
        <w:spacing w:line="240" w:lineRule="auto"/>
      </w:pPr>
      <w:r>
        <w:separator/>
      </w:r>
    </w:p>
  </w:footnote>
  <w:footnote w:type="continuationSeparator" w:id="0">
    <w:p w14:paraId="774F0F9E" w14:textId="77777777" w:rsidR="00471494" w:rsidRDefault="00471494" w:rsidP="00872C4F">
      <w:pPr>
        <w:spacing w:line="240" w:lineRule="auto"/>
      </w:pPr>
      <w:r>
        <w:continuationSeparator/>
      </w:r>
    </w:p>
  </w:footnote>
  <w:footnote w:id="1">
    <w:p w14:paraId="07950F28" w14:textId="6276A195" w:rsidR="00966924" w:rsidRDefault="0096692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3320B" w14:textId="77777777" w:rsidR="00974737" w:rsidRDefault="00427916" w:rsidP="00872C4F">
    <w:pPr>
      <w:pStyle w:val="Intestazione"/>
      <w:tabs>
        <w:tab w:val="clear" w:pos="4819"/>
        <w:tab w:val="clear" w:pos="9638"/>
        <w:tab w:val="center" w:pos="3345"/>
        <w:tab w:val="right" w:pos="66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15E5"/>
    <w:multiLevelType w:val="hybridMultilevel"/>
    <w:tmpl w:val="337A59F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4F"/>
    <w:rsid w:val="0016323F"/>
    <w:rsid w:val="001E71CD"/>
    <w:rsid w:val="002B4937"/>
    <w:rsid w:val="00320272"/>
    <w:rsid w:val="003B6C3C"/>
    <w:rsid w:val="003E0C3B"/>
    <w:rsid w:val="00427916"/>
    <w:rsid w:val="00471494"/>
    <w:rsid w:val="004A4F88"/>
    <w:rsid w:val="004C3918"/>
    <w:rsid w:val="004D1217"/>
    <w:rsid w:val="004D6008"/>
    <w:rsid w:val="00583C63"/>
    <w:rsid w:val="006E00BA"/>
    <w:rsid w:val="006F1772"/>
    <w:rsid w:val="00774B68"/>
    <w:rsid w:val="00805F30"/>
    <w:rsid w:val="00807195"/>
    <w:rsid w:val="00872C4F"/>
    <w:rsid w:val="008959A5"/>
    <w:rsid w:val="00910727"/>
    <w:rsid w:val="00940DA2"/>
    <w:rsid w:val="00966924"/>
    <w:rsid w:val="0098437B"/>
    <w:rsid w:val="009A57A7"/>
    <w:rsid w:val="009F0FD4"/>
    <w:rsid w:val="009F12A2"/>
    <w:rsid w:val="00A70751"/>
    <w:rsid w:val="00AC251A"/>
    <w:rsid w:val="00AE53E2"/>
    <w:rsid w:val="00BA0C44"/>
    <w:rsid w:val="00BF7066"/>
    <w:rsid w:val="00C94A09"/>
    <w:rsid w:val="00DA436E"/>
    <w:rsid w:val="00F7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42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C4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72C4F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872C4F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nhideWhenUsed/>
    <w:rsid w:val="00872C4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72C4F"/>
    <w:rPr>
      <w:rFonts w:ascii="Times" w:hAnsi="Times"/>
    </w:rPr>
  </w:style>
  <w:style w:type="paragraph" w:styleId="Pidipagina">
    <w:name w:val="footer"/>
    <w:basedOn w:val="Normale"/>
    <w:link w:val="PidipaginaCarattere"/>
    <w:rsid w:val="00872C4F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72C4F"/>
    <w:rPr>
      <w:rFonts w:ascii="Times" w:hAnsi="Times"/>
    </w:rPr>
  </w:style>
  <w:style w:type="character" w:styleId="Collegamentoipertestuale">
    <w:name w:val="Hyperlink"/>
    <w:basedOn w:val="Carpredefinitoparagrafo"/>
    <w:unhideWhenUsed/>
    <w:rsid w:val="004A4F88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2027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20272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32027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70751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4279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C4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72C4F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872C4F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nhideWhenUsed/>
    <w:rsid w:val="00872C4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72C4F"/>
    <w:rPr>
      <w:rFonts w:ascii="Times" w:hAnsi="Times"/>
    </w:rPr>
  </w:style>
  <w:style w:type="paragraph" w:styleId="Pidipagina">
    <w:name w:val="footer"/>
    <w:basedOn w:val="Normale"/>
    <w:link w:val="PidipaginaCarattere"/>
    <w:rsid w:val="00872C4F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72C4F"/>
    <w:rPr>
      <w:rFonts w:ascii="Times" w:hAnsi="Times"/>
    </w:rPr>
  </w:style>
  <w:style w:type="character" w:styleId="Collegamentoipertestuale">
    <w:name w:val="Hyperlink"/>
    <w:basedOn w:val="Carpredefinitoparagrafo"/>
    <w:unhideWhenUsed/>
    <w:rsid w:val="004A4F88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2027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20272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32027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70751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4279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enti.unicatt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manuale-di-diritto-commerciale-9788892129368-67364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03F8-241A-43D2-B3B2-703FE2F7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642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2003-03-27T09:42:00Z</cp:lastPrinted>
  <dcterms:created xsi:type="dcterms:W3CDTF">2021-05-10T16:30:00Z</dcterms:created>
  <dcterms:modified xsi:type="dcterms:W3CDTF">2021-06-30T09:54:00Z</dcterms:modified>
</cp:coreProperties>
</file>