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77777777"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 xml:space="preserve">Prof. </w:t>
      </w:r>
      <w:r w:rsidR="00F77BAF">
        <w:rPr>
          <w:smallCaps/>
          <w:noProof/>
          <w:sz w:val="18"/>
          <w:szCs w:val="18"/>
        </w:rPr>
        <w:t xml:space="preserve">Silvia Biraghi; Prof. </w:t>
      </w:r>
      <w:r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0B2A6DBB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 atti a comprendere e realizzare il potenziale della comunicazione integrata a supporto delle imprese e del sostegno delle loro marche nella relazione con i loro 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Pr="00AE4885">
        <w:rPr>
          <w:rFonts w:ascii="Times New Roman" w:hAnsi="Times New Roman"/>
          <w:sz w:val="20"/>
          <w:lang w:val="it-IT"/>
        </w:rPr>
        <w:t xml:space="preserve">. 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Comprendere il ruolo della comunicazione aziendale a supporto delle risorse intangibili.</w:t>
      </w:r>
    </w:p>
    <w:p w14:paraId="44AEB4B2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Apprezzare i trend di sviluppo della comunicazione aziendale nella creazione di intense relazioni marca-consumatore.</w:t>
      </w:r>
    </w:p>
    <w:p w14:paraId="7D56E781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una 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Conoscere il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0080CFC1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/>
          <w:bCs/>
          <w:sz w:val="20"/>
          <w:lang w:val="it-IT"/>
        </w:rPr>
      </w:pPr>
    </w:p>
    <w:p w14:paraId="68AED60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progettare un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della marca, scegliendo i media più adatti.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341D8A4" w14:textId="5C08B04E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Durante il corso verranno trattati i seguenti argomenti:</w:t>
      </w:r>
    </w:p>
    <w:p w14:paraId="0D0EB065" w14:textId="1B329044" w:rsidR="00352791" w:rsidRPr="00BF6CEC" w:rsidRDefault="00352791" w:rsidP="00352791">
      <w:pPr>
        <w:rPr>
          <w:rFonts w:ascii="Times" w:hAnsi="Times"/>
          <w:i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>Primo Modulo</w:t>
      </w:r>
      <w:r w:rsidRPr="00BF6CEC">
        <w:rPr>
          <w:rFonts w:ascii="Times" w:hAnsi="Times"/>
          <w:szCs w:val="18"/>
        </w:rPr>
        <w:t>:</w:t>
      </w:r>
      <w:r w:rsidRPr="00BF6CEC">
        <w:rPr>
          <w:rFonts w:ascii="Times" w:hAnsi="Times"/>
          <w:i/>
          <w:szCs w:val="18"/>
        </w:rPr>
        <w:t xml:space="preserve"> Prof. Silvia </w:t>
      </w:r>
      <w:proofErr w:type="spellStart"/>
      <w:r w:rsidRPr="00BF6CEC">
        <w:rPr>
          <w:rFonts w:ascii="Times" w:hAnsi="Times"/>
          <w:i/>
          <w:szCs w:val="18"/>
        </w:rPr>
        <w:t>Biraghi</w:t>
      </w:r>
      <w:proofErr w:type="spellEnd"/>
    </w:p>
    <w:p w14:paraId="05A48F54" w14:textId="77777777" w:rsidR="002D62BD" w:rsidRPr="005D2809" w:rsidRDefault="002D62BD" w:rsidP="002D62BD">
      <w:r w:rsidRPr="005D2809">
        <w:t>1.</w:t>
      </w:r>
      <w:r w:rsidRPr="005D2809">
        <w:tab/>
      </w:r>
      <w:r w:rsidRPr="001363EC">
        <w:rPr>
          <w:i/>
          <w:szCs w:val="20"/>
        </w:rPr>
        <w:t>La comunicazione aziendale in ottica totale integrata</w:t>
      </w:r>
    </w:p>
    <w:p w14:paraId="151B3F04" w14:textId="77777777" w:rsidR="002D62BD" w:rsidRPr="005D2809" w:rsidRDefault="002D62BD" w:rsidP="002D62BD">
      <w:r w:rsidRPr="005D2809">
        <w:lastRenderedPageBreak/>
        <w:t>–</w:t>
      </w:r>
      <w:r w:rsidRPr="005D2809">
        <w:tab/>
        <w:t>L’evoluzione del ruolo della comunicazione nel contesto contemporaneo.</w:t>
      </w:r>
    </w:p>
    <w:p w14:paraId="1D2E215B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Le aree della comunicazione aziendale: istituzionale, interna, di marca, finanziaria.</w:t>
      </w:r>
    </w:p>
    <w:p w14:paraId="0DC2520A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 xml:space="preserve">Le sfide attuali all’integrazione tra linearità-controllo e </w:t>
      </w:r>
      <w:proofErr w:type="spellStart"/>
      <w:r w:rsidRPr="005D2809">
        <w:t>multidirezionalità</w:t>
      </w:r>
      <w:proofErr w:type="spellEnd"/>
      <w:r w:rsidRPr="005D2809">
        <w:t>-trasparenza.</w:t>
      </w:r>
    </w:p>
    <w:p w14:paraId="72D20306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2.</w:t>
      </w:r>
      <w:r w:rsidRPr="005D2809">
        <w:rPr>
          <w:szCs w:val="20"/>
        </w:rPr>
        <w:tab/>
      </w:r>
      <w:r w:rsidRPr="001363EC">
        <w:rPr>
          <w:i/>
          <w:szCs w:val="20"/>
        </w:rPr>
        <w:t>Le risorse intangibili</w:t>
      </w:r>
    </w:p>
    <w:p w14:paraId="7DCB02A0" w14:textId="75C6B272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Identità, immagine e reputazione</w:t>
      </w:r>
    </w:p>
    <w:p w14:paraId="2D0AB692" w14:textId="4243CA95" w:rsidR="00B760E3" w:rsidRPr="00BF6CEC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</w:r>
      <w:r w:rsidR="002D62BD" w:rsidRPr="00BF6CEC">
        <w:rPr>
          <w:lang w:val="en-US"/>
        </w:rPr>
        <w:t xml:space="preserve">Corporate branding </w:t>
      </w:r>
    </w:p>
    <w:p w14:paraId="7030A14B" w14:textId="3DBF919E" w:rsidR="002D62BD" w:rsidRPr="00C46488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  <w:t xml:space="preserve">Corporate citizenship e </w:t>
      </w:r>
      <w:r w:rsidR="002D62BD" w:rsidRPr="00C46488">
        <w:rPr>
          <w:lang w:val="en-US"/>
        </w:rPr>
        <w:t>brand activism</w:t>
      </w:r>
    </w:p>
    <w:p w14:paraId="14A8AD1D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3.</w:t>
      </w:r>
      <w:r w:rsidRPr="005D2809">
        <w:rPr>
          <w:szCs w:val="20"/>
        </w:rPr>
        <w:tab/>
      </w:r>
      <w:r w:rsidRPr="001363EC">
        <w:rPr>
          <w:i/>
          <w:szCs w:val="20"/>
        </w:rPr>
        <w:t>La comunicazione a sostegno della marca</w:t>
      </w:r>
    </w:p>
    <w:p w14:paraId="2605F68C" w14:textId="77777777" w:rsidR="002D62BD" w:rsidRPr="005D2809" w:rsidRDefault="002D62BD" w:rsidP="002D62BD">
      <w:r w:rsidRPr="005D2809">
        <w:t>–</w:t>
      </w:r>
      <w:r w:rsidRPr="005D2809">
        <w:tab/>
        <w:t>Il ruolo delle marche in continua evoluzione.</w:t>
      </w:r>
    </w:p>
    <w:p w14:paraId="4DD01780" w14:textId="455BAFFB" w:rsidR="002D62BD" w:rsidRPr="005D2809" w:rsidRDefault="002D62BD" w:rsidP="002D62BD">
      <w:r w:rsidRPr="005D2809">
        <w:t>–</w:t>
      </w:r>
      <w:r w:rsidRPr="005D2809">
        <w:tab/>
        <w:t>Concetti di ba</w:t>
      </w:r>
      <w:r w:rsidR="00B760E3">
        <w:t xml:space="preserve">se per la gestione di una marca: brand </w:t>
      </w:r>
      <w:proofErr w:type="spellStart"/>
      <w:r w:rsidR="00B760E3">
        <w:t>identity</w:t>
      </w:r>
      <w:proofErr w:type="spellEnd"/>
      <w:r w:rsidR="00B760E3">
        <w:t xml:space="preserve"> e brand </w:t>
      </w:r>
      <w:proofErr w:type="spellStart"/>
      <w:r w:rsidR="00B760E3">
        <w:t>positioning</w:t>
      </w:r>
      <w:proofErr w:type="spellEnd"/>
    </w:p>
    <w:p w14:paraId="43225DA5" w14:textId="395A88A1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</w:r>
      <w:r>
        <w:t>S</w:t>
      </w:r>
      <w:r w:rsidRPr="005D2809">
        <w:t xml:space="preserve">viluppare </w:t>
      </w:r>
      <w:proofErr w:type="spellStart"/>
      <w:r w:rsidRPr="005D2809">
        <w:t>insight</w:t>
      </w:r>
      <w:proofErr w:type="spellEnd"/>
      <w:r w:rsidRPr="005D2809">
        <w:t>, intercettare ed esplorare trend</w:t>
      </w:r>
      <w:r w:rsidR="00B760E3">
        <w:t xml:space="preserve"> e generare </w:t>
      </w:r>
      <w:r>
        <w:t>contenuti per la realizzazione di progetti di comunicazione di marca</w:t>
      </w:r>
    </w:p>
    <w:p w14:paraId="14EED11B" w14:textId="5A076BC3" w:rsidR="002D62BD" w:rsidRDefault="002D62BD" w:rsidP="006B440F">
      <w:pPr>
        <w:spacing w:before="120"/>
        <w:rPr>
          <w:rFonts w:ascii="Times" w:hAnsi="Times"/>
          <w:i/>
          <w:iCs/>
          <w:smallCaps/>
          <w:sz w:val="18"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 xml:space="preserve">Secondo Modulo: </w:t>
      </w:r>
      <w:r w:rsidRPr="006B440F">
        <w:rPr>
          <w:i/>
          <w:szCs w:val="20"/>
          <w:lang w:eastAsia="en-US"/>
        </w:rPr>
        <w:t>Prof. Marco De Angeli</w:t>
      </w:r>
    </w:p>
    <w:p w14:paraId="388CFADD" w14:textId="2EDF7A04" w:rsidR="001D2D76" w:rsidRPr="00050C3A" w:rsidRDefault="001D2D76" w:rsidP="001D2D76">
      <w:pPr>
        <w:rPr>
          <w:szCs w:val="20"/>
        </w:rPr>
      </w:pPr>
      <w:r w:rsidRPr="00050C3A">
        <w:rPr>
          <w:szCs w:val="20"/>
        </w:rPr>
        <w:t>1.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 xml:space="preserve">Contesto, attori ed evoluzione </w:t>
      </w:r>
      <w:proofErr w:type="spellStart"/>
      <w:r w:rsidRPr="00050C3A">
        <w:rPr>
          <w:i/>
          <w:iCs/>
          <w:szCs w:val="20"/>
        </w:rPr>
        <w:t>dell</w:t>
      </w:r>
      <w:r w:rsidR="00C46488" w:rsidRPr="00050C3A">
        <w:rPr>
          <w:i/>
          <w:iCs/>
          <w:szCs w:val="20"/>
        </w:rPr>
        <w:t>’international</w:t>
      </w:r>
      <w:proofErr w:type="spellEnd"/>
      <w:r w:rsidR="00C46488" w:rsidRPr="00050C3A">
        <w:rPr>
          <w:i/>
          <w:iCs/>
          <w:szCs w:val="20"/>
        </w:rPr>
        <w:t xml:space="preserve"> advertising </w:t>
      </w:r>
      <w:proofErr w:type="spellStart"/>
      <w:r w:rsidR="00C46488" w:rsidRPr="00050C3A">
        <w:rPr>
          <w:i/>
          <w:iCs/>
          <w:szCs w:val="20"/>
        </w:rPr>
        <w:t>industry</w:t>
      </w:r>
      <w:proofErr w:type="spellEnd"/>
    </w:p>
    <w:p w14:paraId="1A568A72" w14:textId="661F7558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L’evoluzione dello scenario</w:t>
      </w:r>
      <w:r w:rsidR="005B5A08" w:rsidRPr="006B440F">
        <w:rPr>
          <w:sz w:val="20"/>
          <w:lang w:val="it-IT"/>
        </w:rPr>
        <w:t xml:space="preserve"> nel </w:t>
      </w:r>
      <w:r w:rsidRPr="006B440F">
        <w:rPr>
          <w:sz w:val="20"/>
          <w:lang w:val="it-IT"/>
        </w:rPr>
        <w:t>post Covid19. Professionisti e tematiche al centro del dibattito</w:t>
      </w:r>
      <w:r w:rsidR="006E5CD4" w:rsidRPr="006B440F">
        <w:rPr>
          <w:sz w:val="20"/>
          <w:lang w:val="it-IT"/>
        </w:rPr>
        <w:t>.</w:t>
      </w:r>
    </w:p>
    <w:p w14:paraId="06929608" w14:textId="19C64735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Organizzazione di un</w:t>
      </w:r>
      <w:r w:rsidR="005B5A08" w:rsidRPr="006B440F">
        <w:rPr>
          <w:sz w:val="20"/>
          <w:lang w:val="it-IT"/>
        </w:rPr>
        <w:t>’</w:t>
      </w:r>
      <w:r w:rsidRPr="006B440F">
        <w:rPr>
          <w:sz w:val="20"/>
          <w:lang w:val="it-IT"/>
        </w:rPr>
        <w:t>agenzia</w:t>
      </w:r>
      <w:r w:rsidR="006E5CD4" w:rsidRPr="006B440F">
        <w:rPr>
          <w:sz w:val="20"/>
          <w:lang w:val="it-IT"/>
        </w:rPr>
        <w:t xml:space="preserve"> pubblicitaria</w:t>
      </w:r>
      <w:r w:rsidR="005E134E" w:rsidRPr="006B440F">
        <w:rPr>
          <w:sz w:val="20"/>
          <w:lang w:val="it-IT"/>
        </w:rPr>
        <w:t>,</w:t>
      </w:r>
      <w:r w:rsidRPr="006B440F">
        <w:rPr>
          <w:sz w:val="20"/>
          <w:lang w:val="it-IT"/>
        </w:rPr>
        <w:t xml:space="preserve"> rapporto tra</w:t>
      </w:r>
      <w:r w:rsidR="005E134E" w:rsidRPr="006B440F">
        <w:rPr>
          <w:sz w:val="20"/>
          <w:lang w:val="it-IT"/>
        </w:rPr>
        <w:t xml:space="preserve"> </w:t>
      </w:r>
      <w:r w:rsidRPr="006B440F">
        <w:rPr>
          <w:sz w:val="20"/>
          <w:lang w:val="it-IT"/>
        </w:rPr>
        <w:t>competenze in azienda ed agenzia</w:t>
      </w:r>
      <w:r w:rsidR="005E134E" w:rsidRPr="006B440F">
        <w:rPr>
          <w:sz w:val="20"/>
          <w:lang w:val="it-IT"/>
        </w:rPr>
        <w:t xml:space="preserve"> e gestione di un</w:t>
      </w:r>
      <w:r w:rsidR="005B5A08" w:rsidRPr="006B440F">
        <w:rPr>
          <w:sz w:val="20"/>
          <w:lang w:val="it-IT"/>
        </w:rPr>
        <w:t xml:space="preserve"> progetto</w:t>
      </w:r>
      <w:r w:rsidR="005E134E" w:rsidRPr="006B440F">
        <w:rPr>
          <w:sz w:val="20"/>
          <w:lang w:val="it-IT"/>
        </w:rPr>
        <w:t xml:space="preserve"> di comunicazione internazionale</w:t>
      </w:r>
      <w:r w:rsidR="006E5CD4" w:rsidRPr="006B440F">
        <w:rPr>
          <w:sz w:val="20"/>
          <w:lang w:val="it-IT"/>
        </w:rPr>
        <w:t>.</w:t>
      </w:r>
    </w:p>
    <w:p w14:paraId="6BAF9A07" w14:textId="1C025C42" w:rsidR="001D2D76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Il flusso di lavoro dal brief del cliente all’output creativo</w:t>
      </w:r>
      <w:r w:rsidR="001D2D76" w:rsidRPr="006B440F">
        <w:rPr>
          <w:sz w:val="20"/>
          <w:lang w:val="it-IT"/>
        </w:rPr>
        <w:t>.</w:t>
      </w:r>
    </w:p>
    <w:p w14:paraId="0EF5D14C" w14:textId="77777777" w:rsidR="005E134E" w:rsidRPr="00050C3A" w:rsidRDefault="005E134E" w:rsidP="00050C3A">
      <w:pPr>
        <w:rPr>
          <w:szCs w:val="20"/>
        </w:rPr>
      </w:pPr>
    </w:p>
    <w:p w14:paraId="67843106" w14:textId="58548DA1" w:rsidR="001D2D76" w:rsidRPr="00050C3A" w:rsidRDefault="001D2D76" w:rsidP="001D2D76">
      <w:pPr>
        <w:ind w:left="284" w:hanging="284"/>
        <w:rPr>
          <w:i/>
          <w:iCs/>
          <w:szCs w:val="20"/>
        </w:rPr>
      </w:pPr>
      <w:r w:rsidRPr="00050C3A">
        <w:rPr>
          <w:szCs w:val="20"/>
        </w:rPr>
        <w:t>2.</w:t>
      </w:r>
      <w:r w:rsidRPr="00050C3A">
        <w:rPr>
          <w:szCs w:val="20"/>
        </w:rPr>
        <w:tab/>
      </w:r>
      <w:r w:rsidR="005E134E" w:rsidRPr="00050C3A">
        <w:rPr>
          <w:i/>
          <w:iCs/>
          <w:szCs w:val="20"/>
        </w:rPr>
        <w:t>La strategia pubblicitaria</w:t>
      </w:r>
    </w:p>
    <w:p w14:paraId="1AD788C7" w14:textId="7B4D066D" w:rsidR="005E134E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Percorso ed elaborazione delle informazioni per definire una strategia creativa coerente con gli obiettivi di marketing</w:t>
      </w:r>
      <w:r w:rsidR="006E5CD4" w:rsidRPr="006B440F">
        <w:rPr>
          <w:sz w:val="20"/>
          <w:lang w:val="it-IT"/>
        </w:rPr>
        <w:t>.</w:t>
      </w:r>
    </w:p>
    <w:p w14:paraId="437EE80B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Differenze tra app</w:t>
      </w:r>
      <w:r w:rsidR="006E5CD4" w:rsidRPr="006B440F">
        <w:rPr>
          <w:sz w:val="20"/>
          <w:lang w:val="it-IT"/>
        </w:rPr>
        <w:t>r</w:t>
      </w:r>
      <w:r w:rsidRPr="006B440F">
        <w:rPr>
          <w:sz w:val="20"/>
          <w:lang w:val="it-IT"/>
        </w:rPr>
        <w:t>occi mass market e peculiarità della comunicazione dei beni di alto di gamma</w:t>
      </w:r>
      <w:r w:rsidR="006E5CD4" w:rsidRPr="006B440F">
        <w:rPr>
          <w:sz w:val="20"/>
          <w:lang w:val="it-IT"/>
        </w:rPr>
        <w:t>.</w:t>
      </w:r>
    </w:p>
    <w:p w14:paraId="73F23163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Gli stili creativi. L’approccio razionale e l’approccio emozionale</w:t>
      </w:r>
      <w:r w:rsidR="006E5CD4" w:rsidRPr="006B440F">
        <w:rPr>
          <w:sz w:val="20"/>
          <w:lang w:val="it-IT"/>
        </w:rPr>
        <w:t>.</w:t>
      </w:r>
    </w:p>
    <w:p w14:paraId="55662DD6" w14:textId="2D5D8B1E" w:rsidR="003C0451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Specificità della comunicazione comparativa in Italia e all’Estero</w:t>
      </w:r>
      <w:r w:rsidR="002402EB" w:rsidRPr="006B440F">
        <w:rPr>
          <w:sz w:val="20"/>
          <w:lang w:val="it-IT"/>
        </w:rPr>
        <w:t>.</w:t>
      </w:r>
    </w:p>
    <w:p w14:paraId="300FAB96" w14:textId="77777777" w:rsidR="005E134E" w:rsidRPr="00050C3A" w:rsidRDefault="005E134E" w:rsidP="005E134E">
      <w:pPr>
        <w:rPr>
          <w:szCs w:val="20"/>
        </w:rPr>
      </w:pPr>
    </w:p>
    <w:p w14:paraId="4267F8CB" w14:textId="38258B93" w:rsidR="005E134E" w:rsidRPr="00050C3A" w:rsidRDefault="005E134E" w:rsidP="005E134E">
      <w:pPr>
        <w:ind w:left="284" w:hanging="284"/>
        <w:rPr>
          <w:i/>
          <w:iCs/>
          <w:szCs w:val="20"/>
        </w:rPr>
      </w:pPr>
      <w:r w:rsidRPr="00050C3A">
        <w:rPr>
          <w:szCs w:val="20"/>
        </w:rPr>
        <w:t>3.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Deontologia ed etica della comunicazione commerciale</w:t>
      </w:r>
    </w:p>
    <w:p w14:paraId="13685F32" w14:textId="78AEC3F4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La tutela del consumatore</w:t>
      </w:r>
      <w:r w:rsidR="006E5CD4" w:rsidRPr="006B440F">
        <w:rPr>
          <w:sz w:val="20"/>
          <w:lang w:val="it-IT"/>
        </w:rPr>
        <w:t xml:space="preserve"> per</w:t>
      </w:r>
      <w:r w:rsidRPr="006B440F">
        <w:rPr>
          <w:sz w:val="20"/>
          <w:lang w:val="it-IT"/>
        </w:rPr>
        <w:t xml:space="preserve"> AGCM, AGCOM e IAP</w:t>
      </w:r>
      <w:r w:rsidR="002402EB" w:rsidRPr="006B440F">
        <w:rPr>
          <w:sz w:val="20"/>
          <w:lang w:val="it-IT"/>
        </w:rPr>
        <w:t>.</w:t>
      </w:r>
    </w:p>
    <w:p w14:paraId="54DB0C98" w14:textId="63A0617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 e funzionamento dello IAP</w:t>
      </w:r>
      <w:r w:rsidR="002402EB" w:rsidRPr="006B440F">
        <w:rPr>
          <w:sz w:val="20"/>
          <w:lang w:val="it-IT"/>
        </w:rPr>
        <w:t>.</w:t>
      </w:r>
    </w:p>
    <w:p w14:paraId="41B73D19" w14:textId="1AC8464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Prevenzione e tutela della creatività</w:t>
      </w:r>
      <w:r w:rsidR="002402EB" w:rsidRPr="006B440F">
        <w:rPr>
          <w:sz w:val="20"/>
          <w:lang w:val="it-IT"/>
        </w:rPr>
        <w:t>.</w:t>
      </w:r>
    </w:p>
    <w:p w14:paraId="74035F00" w14:textId="7E293C4D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E6AB5">
        <w:rPr>
          <w:rStyle w:val="Rimandonotaapidipagina"/>
          <w:b/>
          <w:i/>
          <w:sz w:val="18"/>
        </w:rPr>
        <w:footnoteReference w:id="1"/>
      </w:r>
    </w:p>
    <w:p w14:paraId="40607901" w14:textId="77777777"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I materiali didattici necessari per la preparazione del corso saranno costituiti da deck di presentazione, articoli, report, saggi, audiovisivi e testimonianze riportati su Blackboard. </w:t>
      </w:r>
    </w:p>
    <w:p w14:paraId="500F004B" w14:textId="77777777" w:rsidR="00882551" w:rsidRPr="00882551" w:rsidRDefault="00882551" w:rsidP="00882551">
      <w:pPr>
        <w:pStyle w:val="WPNormal"/>
        <w:spacing w:before="120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Oltre a tutti i materiali pubblicati su Blackboard sarà necessario studiare i seguenti libri di testo:</w:t>
      </w:r>
    </w:p>
    <w:p w14:paraId="4BBDF57D" w14:textId="2604FF4F" w:rsidR="002846F6" w:rsidRPr="00BF6CEC" w:rsidRDefault="002846F6" w:rsidP="002846F6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F6CEC">
        <w:rPr>
          <w:rFonts w:ascii="Times New Roman" w:hAnsi="Times New Roman"/>
          <w:smallCaps/>
          <w:sz w:val="16"/>
          <w:lang w:val="en-US"/>
        </w:rPr>
        <w:t xml:space="preserve">J. Cornelissen,  </w:t>
      </w:r>
      <w:r w:rsidRPr="00FE65DB">
        <w:rPr>
          <w:i/>
          <w:spacing w:val="-5"/>
          <w:lang w:val="en-US"/>
        </w:rPr>
        <w:t>The new</w:t>
      </w:r>
      <w:r>
        <w:rPr>
          <w:i/>
          <w:spacing w:val="-5"/>
          <w:lang w:val="en-US"/>
        </w:rPr>
        <w:t xml:space="preserve"> Corporate Communication. A guide to theory and practice, Sage Publications, 2020.</w:t>
      </w:r>
      <w:r w:rsidR="00B8575C">
        <w:rPr>
          <w:i/>
          <w:spacing w:val="-5"/>
          <w:lang w:val="en-US"/>
        </w:rPr>
        <w:t xml:space="preserve"> </w:t>
      </w:r>
      <w:r w:rsidR="00B8575C">
        <w:rPr>
          <w:spacing w:val="-5"/>
          <w:lang w:val="en-US"/>
        </w:rPr>
        <w:t>(part 1, part 2, part 3)</w:t>
      </w:r>
    </w:p>
    <w:p w14:paraId="62024679" w14:textId="28C3405C" w:rsidR="0038749B" w:rsidRPr="00BF6CEC" w:rsidRDefault="0038749B" w:rsidP="00BF6CEC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  <w:lang w:val="en-US"/>
        </w:rPr>
        <w:t>J.N. Kapferer</w:t>
      </w:r>
      <w:r w:rsidRPr="00FE65DB">
        <w:rPr>
          <w:smallCaps/>
          <w:spacing w:val="-5"/>
          <w:sz w:val="16"/>
          <w:lang w:val="en-US"/>
        </w:rPr>
        <w:t>,</w:t>
      </w:r>
      <w:r w:rsidRPr="00FE65DB">
        <w:rPr>
          <w:i/>
          <w:spacing w:val="-5"/>
          <w:lang w:val="en-US"/>
        </w:rPr>
        <w:t xml:space="preserve"> The new strategic brand management: Advanced insights and strategic thinking,</w:t>
      </w:r>
      <w:r w:rsidRPr="00FE65DB">
        <w:rPr>
          <w:spacing w:val="-5"/>
          <w:lang w:val="en-US"/>
        </w:rPr>
        <w:t xml:space="preserve"> Kogan Page Publishers, 2012. </w:t>
      </w:r>
      <w:r w:rsidRPr="001D2D76">
        <w:rPr>
          <w:spacing w:val="-5"/>
        </w:rPr>
        <w:t>(Introduction, 1, 2, 5, 6, 7).</w:t>
      </w:r>
    </w:p>
    <w:p w14:paraId="731BAE84" w14:textId="5C7C562F" w:rsidR="00882551" w:rsidRPr="00882551" w:rsidRDefault="00BF6CEC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smallCaps/>
          <w:sz w:val="16"/>
          <w:lang w:val="it-IT"/>
        </w:rPr>
        <w:t>M. Lombardi</w:t>
      </w:r>
      <w:r w:rsidR="00882551" w:rsidRPr="00882551">
        <w:rPr>
          <w:rFonts w:ascii="Times New Roman" w:hAnsi="Times New Roman"/>
          <w:sz w:val="18"/>
          <w:lang w:val="it-IT"/>
        </w:rPr>
        <w:t xml:space="preserve">, </w:t>
      </w:r>
      <w:proofErr w:type="spellStart"/>
      <w:r w:rsidR="00882551" w:rsidRPr="00882551">
        <w:rPr>
          <w:rFonts w:ascii="Times New Roman" w:hAnsi="Times New Roman"/>
          <w:sz w:val="18"/>
          <w:lang w:val="it-IT"/>
        </w:rPr>
        <w:t>Mindshare</w:t>
      </w:r>
      <w:proofErr w:type="spellEnd"/>
      <w:r w:rsidR="00882551" w:rsidRPr="00882551">
        <w:rPr>
          <w:rFonts w:ascii="Times New Roman" w:hAnsi="Times New Roman"/>
          <w:sz w:val="18"/>
          <w:lang w:val="it-IT"/>
        </w:rPr>
        <w:t xml:space="preserve"> (2017), Strategia in pubblicità. Dall’intelligenza, la magia. </w:t>
      </w:r>
      <w:proofErr w:type="spellStart"/>
      <w:r w:rsidR="00882551" w:rsidRPr="00882551">
        <w:rPr>
          <w:rFonts w:ascii="Times New Roman" w:hAnsi="Times New Roman"/>
          <w:sz w:val="18"/>
          <w:lang w:val="it-IT"/>
        </w:rPr>
        <w:t>FrancoAngeli</w:t>
      </w:r>
      <w:proofErr w:type="spellEnd"/>
      <w:r w:rsidR="000F1AED">
        <w:rPr>
          <w:rFonts w:ascii="Times New Roman" w:hAnsi="Times New Roman"/>
          <w:sz w:val="18"/>
          <w:lang w:val="it-IT"/>
        </w:rPr>
        <w:t xml:space="preserve"> (Cap 1,2,3</w:t>
      </w:r>
      <w:r w:rsidR="00405888">
        <w:rPr>
          <w:rFonts w:ascii="Times New Roman" w:hAnsi="Times New Roman"/>
          <w:sz w:val="18"/>
          <w:lang w:val="it-IT"/>
        </w:rPr>
        <w:t>,5</w:t>
      </w:r>
      <w:r w:rsidR="000F1AED">
        <w:rPr>
          <w:rFonts w:ascii="Times New Roman" w:hAnsi="Times New Roman"/>
          <w:sz w:val="18"/>
          <w:lang w:val="it-IT"/>
        </w:rPr>
        <w:t>)</w:t>
      </w:r>
      <w:r w:rsidR="001E6AB5">
        <w:rPr>
          <w:rFonts w:ascii="Times New Roman" w:hAnsi="Times New Roman"/>
          <w:sz w:val="18"/>
          <w:lang w:val="it-IT"/>
        </w:rPr>
        <w:t xml:space="preserve"> </w:t>
      </w:r>
      <w:hyperlink r:id="rId9" w:history="1">
        <w:proofErr w:type="spellStart"/>
        <w:r w:rsidR="001E6AB5" w:rsidRPr="001E6A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proofErr w:type="spellEnd"/>
        <w:r w:rsidR="001E6AB5" w:rsidRPr="001E6AB5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080303A1" w14:textId="77777777" w:rsidR="00882551" w:rsidRPr="00BF6CEC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</w:p>
    <w:p w14:paraId="76AEECC2" w14:textId="77777777" w:rsidR="00882551" w:rsidRPr="00882551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proofErr w:type="spellStart"/>
      <w:r w:rsidRPr="00AE4885">
        <w:rPr>
          <w:rFonts w:ascii="Times New Roman" w:hAnsi="Times New Roman"/>
          <w:i/>
          <w:sz w:val="18"/>
          <w:lang w:val="it-IT"/>
        </w:rPr>
        <w:t>webinar</w:t>
      </w:r>
      <w:proofErr w:type="spellEnd"/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Sono previste inoltre testimonianze, discussioni di case </w:t>
      </w:r>
      <w:proofErr w:type="spellStart"/>
      <w:r w:rsidRPr="00AE4885">
        <w:rPr>
          <w:rFonts w:ascii="Times New Roman" w:hAnsi="Times New Roman"/>
          <w:sz w:val="18"/>
          <w:lang w:val="it-IT"/>
        </w:rPr>
        <w:t>study</w:t>
      </w:r>
      <w:proofErr w:type="spellEnd"/>
      <w:r w:rsidRPr="00AE4885">
        <w:rPr>
          <w:rFonts w:ascii="Times New Roman" w:hAnsi="Times New Roman"/>
          <w:sz w:val="18"/>
          <w:lang w:val="it-IT"/>
        </w:rPr>
        <w:t>, attività di gruppo (progetti scritti e presentazioni orali).</w:t>
      </w:r>
    </w:p>
    <w:p w14:paraId="5F575CCF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0" w:after="0"/>
        <w:ind w:left="567" w:right="28" w:hanging="210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6588C7E9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si compongono di: (i) una prova scritta di accertamento delle conoscenze relative ai moduli 1 e 2, da svolgersi individualmente in presenza durante la lezione indicata in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Blackboard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 relativo all’accertamento di abilità e competenze aventi per oggetto i contenuti dei moduli 3, 4 e 5.</w:t>
      </w:r>
    </w:p>
    <w:p w14:paraId="07E89319" w14:textId="4B6A2237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77777777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lastRenderedPageBreak/>
        <w:t>Esame scritto su tutti i contenuti del corso 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54A5B0" w14:textId="77777777" w:rsidR="00EA127D" w:rsidRDefault="00EA127D" w:rsidP="00EA127D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2652E99" w14:textId="5FBDC97D" w:rsidR="00EA127D" w:rsidRPr="00FE65DB" w:rsidRDefault="007259B1" w:rsidP="00EA127D">
      <w:pPr>
        <w:pStyle w:val="Testo2"/>
      </w:pPr>
      <w:r>
        <w:t>La</w:t>
      </w:r>
      <w:r w:rsidR="00EA127D" w:rsidRPr="00FE65DB">
        <w:t xml:space="preserve"> Prof. Silvia Biraghi riceve gli studenti su appuntamento via e-mail presso LABCOM, via Necchi 9</w:t>
      </w:r>
      <w:r w:rsidR="00EA127D">
        <w:t xml:space="preserve"> o in MicrosoftTeams</w:t>
      </w:r>
      <w:r w:rsidR="00EA127D" w:rsidRPr="00FE65DB">
        <w:t>.</w:t>
      </w:r>
    </w:p>
    <w:p w14:paraId="6B6D9F24" w14:textId="00D0B989" w:rsidR="00EA127D" w:rsidRPr="006B440F" w:rsidRDefault="00EA127D" w:rsidP="00EA127D">
      <w:pPr>
        <w:pStyle w:val="testo20"/>
      </w:pPr>
      <w:r w:rsidRPr="006B440F">
        <w:t xml:space="preserve">Il Prof. Marco De Angeli </w:t>
      </w:r>
      <w:r w:rsidRPr="00FE65DB">
        <w:t>riceve gli studenti su appuntamento via e-mail</w:t>
      </w:r>
      <w:r w:rsidRPr="006B440F">
        <w:t xml:space="preserve"> in via Necchi 9 ufficio n.206, </w:t>
      </w:r>
    </w:p>
    <w:sectPr w:rsidR="00EA127D" w:rsidRPr="006B44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43DD" w14:textId="77777777" w:rsidR="001E6AB5" w:rsidRDefault="001E6AB5" w:rsidP="001E6AB5">
      <w:pPr>
        <w:spacing w:line="240" w:lineRule="auto"/>
      </w:pPr>
      <w:r>
        <w:separator/>
      </w:r>
    </w:p>
  </w:endnote>
  <w:endnote w:type="continuationSeparator" w:id="0">
    <w:p w14:paraId="7B04FE4D" w14:textId="77777777" w:rsidR="001E6AB5" w:rsidRDefault="001E6AB5" w:rsidP="001E6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﷽﷽﷽﷽﷽﷽﷽㔶⥄/"/>
    <w:charset w:val="4D"/>
    <w:family w:val="auto"/>
    <w:pitch w:val="variable"/>
    <w:sig w:usb0="A00002FF" w:usb1="500039FB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48A5" w14:textId="77777777" w:rsidR="001E6AB5" w:rsidRDefault="001E6AB5" w:rsidP="001E6AB5">
      <w:pPr>
        <w:spacing w:line="240" w:lineRule="auto"/>
      </w:pPr>
      <w:r>
        <w:separator/>
      </w:r>
    </w:p>
  </w:footnote>
  <w:footnote w:type="continuationSeparator" w:id="0">
    <w:p w14:paraId="7CD14075" w14:textId="77777777" w:rsidR="001E6AB5" w:rsidRDefault="001E6AB5" w:rsidP="001E6AB5">
      <w:pPr>
        <w:spacing w:line="240" w:lineRule="auto"/>
      </w:pPr>
      <w:r>
        <w:continuationSeparator/>
      </w:r>
    </w:p>
  </w:footnote>
  <w:footnote w:id="1">
    <w:p w14:paraId="0EFB58BA" w14:textId="73FAAF42" w:rsidR="001E6AB5" w:rsidRDefault="001E6A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B5F72"/>
    <w:multiLevelType w:val="hybridMultilevel"/>
    <w:tmpl w:val="B8D677C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6518F"/>
    <w:multiLevelType w:val="hybridMultilevel"/>
    <w:tmpl w:val="433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C"/>
    <w:rsid w:val="00050C3A"/>
    <w:rsid w:val="000F1AED"/>
    <w:rsid w:val="00102664"/>
    <w:rsid w:val="001363EC"/>
    <w:rsid w:val="00187B99"/>
    <w:rsid w:val="001D2D76"/>
    <w:rsid w:val="001E6AB5"/>
    <w:rsid w:val="002014DD"/>
    <w:rsid w:val="002402EB"/>
    <w:rsid w:val="002846F6"/>
    <w:rsid w:val="002D5E17"/>
    <w:rsid w:val="002D62BD"/>
    <w:rsid w:val="00352791"/>
    <w:rsid w:val="0038749B"/>
    <w:rsid w:val="003C0451"/>
    <w:rsid w:val="00405888"/>
    <w:rsid w:val="00415A81"/>
    <w:rsid w:val="00485A09"/>
    <w:rsid w:val="004D1217"/>
    <w:rsid w:val="004D6008"/>
    <w:rsid w:val="0050573E"/>
    <w:rsid w:val="00563EDB"/>
    <w:rsid w:val="005B5A08"/>
    <w:rsid w:val="005E134E"/>
    <w:rsid w:val="00640794"/>
    <w:rsid w:val="00650769"/>
    <w:rsid w:val="006B440F"/>
    <w:rsid w:val="006E5CD4"/>
    <w:rsid w:val="006F1772"/>
    <w:rsid w:val="007259B1"/>
    <w:rsid w:val="007D0F13"/>
    <w:rsid w:val="00882551"/>
    <w:rsid w:val="008942E7"/>
    <w:rsid w:val="008A1204"/>
    <w:rsid w:val="00900CCA"/>
    <w:rsid w:val="00924B77"/>
    <w:rsid w:val="00940DA2"/>
    <w:rsid w:val="009A05FA"/>
    <w:rsid w:val="009D3643"/>
    <w:rsid w:val="009E055C"/>
    <w:rsid w:val="009E7A28"/>
    <w:rsid w:val="00A7201A"/>
    <w:rsid w:val="00A74F6F"/>
    <w:rsid w:val="00AA73C0"/>
    <w:rsid w:val="00AD7557"/>
    <w:rsid w:val="00B50C5D"/>
    <w:rsid w:val="00B51253"/>
    <w:rsid w:val="00B525CC"/>
    <w:rsid w:val="00B760E3"/>
    <w:rsid w:val="00B8575C"/>
    <w:rsid w:val="00BF6CEC"/>
    <w:rsid w:val="00C46488"/>
    <w:rsid w:val="00CC585F"/>
    <w:rsid w:val="00D404F2"/>
    <w:rsid w:val="00D6307C"/>
    <w:rsid w:val="00DB32ED"/>
    <w:rsid w:val="00E607E6"/>
    <w:rsid w:val="00EA127D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FC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6A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6AB5"/>
  </w:style>
  <w:style w:type="character" w:styleId="Rimandonotaapidipagina">
    <w:name w:val="footnote reference"/>
    <w:basedOn w:val="Carpredefinitoparagrafo"/>
    <w:semiHidden/>
    <w:unhideWhenUsed/>
    <w:rsid w:val="001E6AB5"/>
    <w:rPr>
      <w:vertAlign w:val="superscript"/>
    </w:rPr>
  </w:style>
  <w:style w:type="character" w:styleId="Collegamentoipertestuale">
    <w:name w:val="Hyperlink"/>
    <w:basedOn w:val="Carpredefinitoparagrafo"/>
    <w:unhideWhenUsed/>
    <w:rsid w:val="001E6A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6A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6AB5"/>
  </w:style>
  <w:style w:type="character" w:styleId="Rimandonotaapidipagina">
    <w:name w:val="footnote reference"/>
    <w:basedOn w:val="Carpredefinitoparagrafo"/>
    <w:semiHidden/>
    <w:unhideWhenUsed/>
    <w:rsid w:val="001E6AB5"/>
    <w:rPr>
      <w:vertAlign w:val="superscript"/>
    </w:rPr>
  </w:style>
  <w:style w:type="character" w:styleId="Collegamentoipertestuale">
    <w:name w:val="Hyperlink"/>
    <w:basedOn w:val="Carpredefinitoparagrafo"/>
    <w:unhideWhenUsed/>
    <w:rsid w:val="001E6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lombardi/strategia-in-pubblicita-dallintelligenza-la-magia-9788891759443-256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9109-CD58-441C-AB24-112302CC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85</TotalTime>
  <Pages>4</Pages>
  <Words>1048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32</cp:revision>
  <cp:lastPrinted>2019-05-21T11:34:00Z</cp:lastPrinted>
  <dcterms:created xsi:type="dcterms:W3CDTF">2020-05-10T15:38:00Z</dcterms:created>
  <dcterms:modified xsi:type="dcterms:W3CDTF">2021-06-30T09:02:00Z</dcterms:modified>
</cp:coreProperties>
</file>