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BA5B14" w:rsidRDefault="00765CDB" w:rsidP="000A76DE">
      <w:pPr>
        <w:pStyle w:val="Titolo1"/>
        <w:ind w:left="0" w:firstLine="0"/>
        <w:rPr>
          <w:lang w:val="en-US"/>
        </w:rPr>
      </w:pPr>
      <w:r w:rsidRPr="00BA5B14">
        <w:rPr>
          <w:lang w:val="en-US"/>
        </w:rPr>
        <w:t>Strategies for emerging technologies</w:t>
      </w:r>
    </w:p>
    <w:p w:rsidR="00765CDB" w:rsidRDefault="00765CDB" w:rsidP="00765CDB">
      <w:pPr>
        <w:pStyle w:val="Titolo2"/>
      </w:pPr>
      <w:r w:rsidRPr="00BA5B14">
        <w:rPr>
          <w:lang w:val="en-US"/>
        </w:rPr>
        <w:t xml:space="preserve">Prof. </w:t>
      </w:r>
      <w:r>
        <w:t>Carlo Maria Ferro; Prof. Marco Minciullo</w:t>
      </w:r>
    </w:p>
    <w:p w:rsidR="00182420" w:rsidRPr="007E5AB2" w:rsidRDefault="00182420" w:rsidP="00182420">
      <w:pPr>
        <w:spacing w:before="240" w:after="120" w:line="240" w:lineRule="atLeast"/>
        <w:rPr>
          <w:color w:val="000000"/>
          <w:szCs w:val="20"/>
          <w:lang w:val="en-US"/>
        </w:rPr>
      </w:pPr>
      <w:r>
        <w:rPr>
          <w:b/>
          <w:bCs/>
          <w:i/>
          <w:iCs/>
          <w:color w:val="000000"/>
          <w:sz w:val="18"/>
          <w:szCs w:val="18"/>
          <w:lang w:val="en-US"/>
        </w:rPr>
        <w:t>COURSE AIMS AND INTENDED LEARNING OUTCOMES</w:t>
      </w:r>
    </w:p>
    <w:p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course is intended to provide the managerial skills for implementing efficient and sustainable </w:t>
      </w:r>
      <w:r w:rsidR="00CA6094">
        <w:rPr>
          <w:rFonts w:ascii="Times" w:hAnsi="Times" w:cs="Times"/>
          <w:lang w:val="en-US"/>
        </w:rPr>
        <w:t xml:space="preserve">growth </w:t>
      </w:r>
      <w:r w:rsidRPr="00765CDB">
        <w:rPr>
          <w:rFonts w:ascii="Times" w:hAnsi="Times" w:cs="Times"/>
          <w:lang w:val="en-US"/>
        </w:rPr>
        <w:t xml:space="preserve">strategies based on emerging technologies. Successful </w:t>
      </w:r>
      <w:r w:rsidRPr="00765CDB">
        <w:rPr>
          <w:rFonts w:ascii="Times" w:hAnsi="Times" w:cs="Times"/>
          <w:noProof/>
          <w:lang w:val="en-US"/>
        </w:rPr>
        <w:t>digitalisation</w:t>
      </w:r>
      <w:r w:rsidRPr="00765CDB">
        <w:rPr>
          <w:rFonts w:ascii="Times" w:hAnsi="Times" w:cs="Times"/>
          <w:lang w:val="en-US"/>
        </w:rPr>
        <w:t xml:space="preserve"> requires a strategic approach that leads to rethinking the company's aims, the structure and processes to gain efficiency and apply technology in a manner to support the company's competitiveness and growth. The course reports on experiences of corporate strategies both in </w:t>
      </w:r>
      <w:r w:rsidRPr="00765CDB">
        <w:rPr>
          <w:rFonts w:ascii="Times" w:hAnsi="Times" w:cs="Times"/>
          <w:noProof/>
          <w:lang w:val="en-US"/>
        </w:rPr>
        <w:t>firms</w:t>
      </w:r>
      <w:r w:rsidRPr="00765CDB">
        <w:rPr>
          <w:rFonts w:ascii="Times" w:hAnsi="Times" w:cs="Times"/>
          <w:lang w:val="en-US"/>
        </w:rPr>
        <w:t xml:space="preserve"> playing in technologically progressive industries, as well as in those belonging to mature </w:t>
      </w:r>
      <w:r w:rsidRPr="00765CDB">
        <w:rPr>
          <w:rFonts w:ascii="Times" w:hAnsi="Times" w:cs="Times"/>
          <w:noProof/>
          <w:lang w:val="en-US"/>
        </w:rPr>
        <w:t>sectors</w:t>
      </w:r>
      <w:r w:rsidRPr="00765CDB">
        <w:rPr>
          <w:rFonts w:ascii="Times" w:hAnsi="Times" w:cs="Times"/>
          <w:lang w:val="en-US"/>
        </w:rPr>
        <w:t xml:space="preserve"> and wishing to understand how to create and respond to innovation.</w:t>
      </w:r>
    </w:p>
    <w:p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Students are taught to view the industry through the eyes of the top managers. They learn how to understand the perspectives of various industry players, how to evaluate strategic options and their consequences, and how to anticipate how they are likely to behave under </w:t>
      </w:r>
      <w:r w:rsidRPr="00765CDB">
        <w:rPr>
          <w:rFonts w:ascii="Times" w:hAnsi="Times" w:cs="Times"/>
          <w:noProof/>
          <w:lang w:val="en-US"/>
        </w:rPr>
        <w:t>different</w:t>
      </w:r>
      <w:r w:rsidRPr="00765CDB">
        <w:rPr>
          <w:rFonts w:ascii="Times" w:hAnsi="Times" w:cs="Times"/>
          <w:lang w:val="en-US"/>
        </w:rPr>
        <w:t xml:space="preserve"> circumstances.</w:t>
      </w:r>
    </w:p>
    <w:p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class will give the skills for </w:t>
      </w:r>
      <w:r w:rsidRPr="00765CDB">
        <w:rPr>
          <w:rFonts w:ascii="Times" w:hAnsi="Times" w:cs="Times"/>
          <w:noProof/>
          <w:lang w:val="en-US"/>
        </w:rPr>
        <w:t>an excellent</w:t>
      </w:r>
      <w:r w:rsidRPr="00765CDB">
        <w:rPr>
          <w:rFonts w:ascii="Times" w:hAnsi="Times" w:cs="Times"/>
          <w:lang w:val="en-US"/>
        </w:rPr>
        <w:t xml:space="preserve"> problem-solving attitude, decision-making approach as well as knowledge on strategic management in a techn</w:t>
      </w:r>
      <w:r>
        <w:rPr>
          <w:rFonts w:ascii="Times" w:hAnsi="Times" w:cs="Times"/>
          <w:lang w:val="en-US"/>
        </w:rPr>
        <w:t>ologically dynamic environment.</w:t>
      </w:r>
    </w:p>
    <w:p w:rsidR="00765CDB" w:rsidRPr="00BA5B14" w:rsidRDefault="00765CDB" w:rsidP="00765CDB">
      <w:pPr>
        <w:spacing w:before="120" w:line="240" w:lineRule="exact"/>
        <w:rPr>
          <w:rFonts w:ascii="Times" w:hAnsi="Times" w:cs="Times"/>
          <w:szCs w:val="20"/>
          <w:lang w:val="en-US"/>
        </w:rPr>
      </w:pPr>
      <w:r w:rsidRPr="00BA5B14">
        <w:rPr>
          <w:rFonts w:ascii="Times" w:hAnsi="Times" w:cs="Times"/>
          <w:noProof/>
          <w:szCs w:val="20"/>
          <w:lang w:val="en-US"/>
        </w:rPr>
        <w:t>Upon successful completion of the requirements for this</w:t>
      </w:r>
      <w:r w:rsidRPr="00BA5B14">
        <w:rPr>
          <w:rFonts w:ascii="Times" w:hAnsi="Times" w:cs="Times"/>
          <w:szCs w:val="20"/>
          <w:lang w:val="en-US"/>
        </w:rPr>
        <w:t xml:space="preserve"> course, students will:</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theories and frameworks in the corporate strategy field;</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able to understand existing corporate strategies implemented by firms operating in the hi-tech environments, and to make recommendations;</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 xml:space="preserve">be aware of decision-making abilities and tools required to </w:t>
      </w:r>
      <w:proofErr w:type="spellStart"/>
      <w:r w:rsidRPr="00BA5B14">
        <w:rPr>
          <w:rFonts w:ascii="Times" w:hAnsi="Times" w:cs="Times"/>
          <w:szCs w:val="20"/>
          <w:lang w:val="en-US"/>
        </w:rPr>
        <w:t>strategising</w:t>
      </w:r>
      <w:proofErr w:type="spellEnd"/>
      <w:r w:rsidRPr="00BA5B14">
        <w:rPr>
          <w:rFonts w:ascii="Times" w:hAnsi="Times" w:cs="Times"/>
          <w:szCs w:val="20"/>
          <w:lang w:val="en-US"/>
        </w:rPr>
        <w:t xml:space="preserve"> in multi-business firms;</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able to develop a corporate plan in the hi-tech industries;</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strategic trends that are occurring in the</w:t>
      </w:r>
      <w:r w:rsidRPr="00BA5B14">
        <w:rPr>
          <w:rFonts w:ascii="Times" w:hAnsi="Times" w:cs="Times"/>
          <w:lang w:val="en-US"/>
        </w:rPr>
        <w:t xml:space="preserve"> </w:t>
      </w:r>
      <w:r w:rsidRPr="00BA5B14">
        <w:rPr>
          <w:rFonts w:ascii="Times" w:hAnsi="Times" w:cs="Times"/>
          <w:szCs w:val="20"/>
          <w:lang w:val="en-US"/>
        </w:rPr>
        <w:t>technological industries;</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and reinforce a problem-solving approach;</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the capability to work in team;</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improve the capacity to present in public business cases and industry analyses;</w:t>
      </w:r>
    </w:p>
    <w:p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equipped with the knowledge basis and capacity to collect additional information that is needed to tackle more advanced strategic topics.</w:t>
      </w:r>
    </w:p>
    <w:p w:rsidR="00F75602" w:rsidRDefault="00F75602" w:rsidP="00765CDB">
      <w:pPr>
        <w:spacing w:before="240" w:after="120" w:line="240" w:lineRule="exact"/>
        <w:rPr>
          <w:b/>
          <w:i/>
          <w:sz w:val="18"/>
          <w:lang w:val="en-US"/>
        </w:rPr>
      </w:pPr>
    </w:p>
    <w:p w:rsidR="00765CDB" w:rsidRPr="00BA5B14" w:rsidRDefault="00765CDB" w:rsidP="00765CDB">
      <w:pPr>
        <w:spacing w:before="240" w:after="120" w:line="240" w:lineRule="exact"/>
        <w:rPr>
          <w:b/>
          <w:i/>
          <w:sz w:val="18"/>
          <w:lang w:val="en-US"/>
        </w:rPr>
      </w:pPr>
      <w:r w:rsidRPr="00BA5B14">
        <w:rPr>
          <w:b/>
          <w:i/>
          <w:sz w:val="18"/>
          <w:lang w:val="en-US"/>
        </w:rPr>
        <w:lastRenderedPageBreak/>
        <w:t>COURSE CONTENT</w:t>
      </w:r>
    </w:p>
    <w:p w:rsidR="00765CDB" w:rsidRPr="00BA5B14" w:rsidRDefault="00BA5B14" w:rsidP="00765CDB">
      <w:pPr>
        <w:spacing w:line="240" w:lineRule="exact"/>
        <w:rPr>
          <w:rFonts w:ascii="Times" w:hAnsi="Times" w:cs="Times"/>
          <w:lang w:val="en-US"/>
        </w:rPr>
      </w:pPr>
      <w:r w:rsidRPr="00BA5B14">
        <w:rPr>
          <w:rFonts w:ascii="Times" w:hAnsi="Times"/>
          <w:smallCaps/>
          <w:noProof/>
          <w:sz w:val="18"/>
          <w:szCs w:val="20"/>
          <w:lang w:val="en-US"/>
        </w:rPr>
        <w:t>Module 1:</w:t>
      </w:r>
      <w:r>
        <w:rPr>
          <w:rFonts w:ascii="Times" w:hAnsi="Times" w:cs="Times"/>
          <w:lang w:val="en-US"/>
        </w:rPr>
        <w:t xml:space="preserve"> </w:t>
      </w:r>
      <w:r w:rsidR="00765CDB" w:rsidRPr="00BA5B14">
        <w:rPr>
          <w:rFonts w:ascii="Times" w:hAnsi="Times" w:cs="Times"/>
          <w:i/>
          <w:lang w:val="en-US"/>
        </w:rPr>
        <w:t>Challenges and opportunities in the technological industries</w:t>
      </w:r>
      <w:r>
        <w:rPr>
          <w:rFonts w:ascii="Times" w:hAnsi="Times" w:cs="Times"/>
          <w:i/>
          <w:lang w:val="en-US"/>
        </w:rPr>
        <w:t xml:space="preserve"> </w:t>
      </w:r>
      <w:r w:rsidRPr="00BA5B14">
        <w:rPr>
          <w:rFonts w:ascii="Times" w:hAnsi="Times" w:cs="Times"/>
          <w:lang w:val="en-US"/>
        </w:rPr>
        <w:t>(Prof. Carlo Maria Ferro)</w:t>
      </w:r>
    </w:p>
    <w:p w:rsidR="00765CDB" w:rsidRPr="00BA5B14" w:rsidRDefault="00765CDB" w:rsidP="00BA5B14">
      <w:pPr>
        <w:spacing w:line="240" w:lineRule="exact"/>
        <w:ind w:left="284" w:hanging="284"/>
        <w:rPr>
          <w:rFonts w:ascii="Times" w:hAnsi="Times" w:cs="Times"/>
          <w:lang w:val="en-US"/>
        </w:rPr>
      </w:pPr>
      <w:r w:rsidRPr="00BA5B14">
        <w:rPr>
          <w:rFonts w:ascii="Times" w:hAnsi="Times" w:cs="Times"/>
          <w:lang w:val="en-US"/>
        </w:rPr>
        <w:t>–</w:t>
      </w:r>
      <w:r w:rsidRPr="00BA5B14">
        <w:rPr>
          <w:rFonts w:ascii="Times" w:hAnsi="Times" w:cs="Times"/>
          <w:lang w:val="en-US"/>
        </w:rPr>
        <w:tab/>
        <w:t>The evolution of the semiconductor industry through continuous innovation, a case study</w:t>
      </w:r>
    </w:p>
    <w:p w:rsidR="00765CDB" w:rsidRPr="00BA5B14" w:rsidRDefault="00765CDB" w:rsidP="00765CDB">
      <w:pPr>
        <w:spacing w:line="240" w:lineRule="exact"/>
        <w:rPr>
          <w:rFonts w:ascii="Times" w:hAnsi="Times" w:cs="Times"/>
          <w:lang w:val="en-US"/>
        </w:rPr>
      </w:pPr>
      <w:r w:rsidRPr="00BA5B14">
        <w:rPr>
          <w:rFonts w:ascii="Times" w:hAnsi="Times" w:cs="Times"/>
          <w:lang w:val="en-US"/>
        </w:rPr>
        <w:t>–</w:t>
      </w:r>
      <w:r w:rsidRPr="00BA5B14">
        <w:rPr>
          <w:rFonts w:ascii="Times" w:hAnsi="Times" w:cs="Times"/>
          <w:lang w:val="en-US"/>
        </w:rPr>
        <w:tab/>
        <w:t>The next industrial mega trends from digital technologies:</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IoT</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Smart &amp; clean Mobility</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Industry 4.0</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Smart Health Services</w:t>
      </w:r>
      <w:r w:rsidR="00BA5B14">
        <w:rPr>
          <w:rFonts w:ascii="Times" w:hAnsi="Times" w:cs="Times"/>
          <w:lang w:val="en-US"/>
        </w:rPr>
        <w:t>.</w:t>
      </w:r>
    </w:p>
    <w:p w:rsidR="00765CDB" w:rsidRPr="00765CDB" w:rsidRDefault="00765CDB" w:rsidP="00765CDB">
      <w:pPr>
        <w:spacing w:line="240" w:lineRule="exact"/>
        <w:rPr>
          <w:rFonts w:ascii="Times" w:hAnsi="Times" w:cs="Times"/>
        </w:rPr>
      </w:pPr>
      <w:r>
        <w:rPr>
          <w:rFonts w:ascii="Times" w:hAnsi="Times" w:cs="Times"/>
        </w:rPr>
        <w:t>–</w:t>
      </w:r>
      <w:r>
        <w:rPr>
          <w:rFonts w:ascii="Times" w:hAnsi="Times" w:cs="Times"/>
        </w:rPr>
        <w:tab/>
      </w:r>
      <w:proofErr w:type="spellStart"/>
      <w:r w:rsidRPr="00765CDB">
        <w:rPr>
          <w:rFonts w:ascii="Times" w:hAnsi="Times" w:cs="Times"/>
        </w:rPr>
        <w:t>Financing</w:t>
      </w:r>
      <w:proofErr w:type="spellEnd"/>
      <w:r w:rsidRPr="00765CDB">
        <w:rPr>
          <w:rFonts w:ascii="Times" w:hAnsi="Times" w:cs="Times"/>
        </w:rPr>
        <w:t xml:space="preserve"> </w:t>
      </w:r>
      <w:proofErr w:type="spellStart"/>
      <w:r w:rsidRPr="00765CDB">
        <w:rPr>
          <w:rFonts w:ascii="Times" w:hAnsi="Times" w:cs="Times"/>
        </w:rPr>
        <w:t>innovation</w:t>
      </w:r>
      <w:proofErr w:type="spellEnd"/>
      <w:r>
        <w:rPr>
          <w:rFonts w:ascii="Times" w:hAnsi="Times" w:cs="Time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Financing start-up</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The role of venture capital and private equity</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The IPO</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Debt and Equity Capital Markets instruments</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Capital Structure at various stages of company’s development</w:t>
      </w:r>
      <w:r w:rsidR="00BA5B14">
        <w:rPr>
          <w:rFonts w:ascii="Times" w:hAnsi="Times" w:cs="Times"/>
          <w:lang w:val="en-US"/>
        </w:rPr>
        <w:t>.</w:t>
      </w:r>
    </w:p>
    <w:p w:rsidR="00765CDB" w:rsidRPr="00BA5B14" w:rsidRDefault="00765CDB" w:rsidP="00765CDB">
      <w:pPr>
        <w:spacing w:line="240" w:lineRule="exact"/>
        <w:rPr>
          <w:rFonts w:ascii="Times" w:hAnsi="Times" w:cs="Times"/>
          <w:lang w:val="en-US"/>
        </w:rPr>
      </w:pPr>
      <w:r w:rsidRPr="00BA5B14">
        <w:rPr>
          <w:rFonts w:ascii="Times" w:hAnsi="Times" w:cs="Times"/>
          <w:lang w:val="en-US"/>
        </w:rPr>
        <w:t>–</w:t>
      </w:r>
      <w:r w:rsidRPr="00BA5B14">
        <w:rPr>
          <w:rFonts w:ascii="Times" w:hAnsi="Times" w:cs="Times"/>
          <w:lang w:val="en-US"/>
        </w:rPr>
        <w:tab/>
        <w:t>M&amp;A in technological industries:</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Organic vs External growth: a strategic choice</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Assessing the strategic fit of business combination in a technology sector</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Combined business plan</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Valuation: DCF, comparable trading multiple and comparable transactions methods</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A case of valuation in the semiconductor industry</w:t>
      </w:r>
      <w:r w:rsidR="00BA5B14">
        <w:rPr>
          <w:rFonts w:ascii="Times" w:hAnsi="Times" w:cs="Times"/>
          <w:lang w:val="en-US"/>
        </w:rPr>
        <w:t>.</w:t>
      </w:r>
    </w:p>
    <w:p w:rsidR="00765CDB" w:rsidRPr="00BA5B14" w:rsidRDefault="00765CDB" w:rsidP="00765CDB">
      <w:pPr>
        <w:spacing w:line="240" w:lineRule="exact"/>
        <w:rPr>
          <w:rFonts w:ascii="Times" w:hAnsi="Times" w:cs="Times"/>
          <w:lang w:val="en-US"/>
        </w:rPr>
      </w:pPr>
      <w:r w:rsidRPr="00BA5B14">
        <w:rPr>
          <w:rFonts w:ascii="Times" w:hAnsi="Times" w:cs="Times"/>
          <w:lang w:val="en-US"/>
        </w:rPr>
        <w:t>–</w:t>
      </w:r>
      <w:r w:rsidRPr="00BA5B14">
        <w:rPr>
          <w:rFonts w:ascii="Times" w:hAnsi="Times" w:cs="Times"/>
          <w:lang w:val="en-US"/>
        </w:rPr>
        <w:tab/>
        <w:t>Strategic Control to drive strategy execution in technology sectors:</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Strategic planning and strategic control: framework</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KPIs vs Key Success Factors</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Controlling R&amp;D activities: from expenses control to measuring R&amp;D effectiveness</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The Balanced Score Card methodology</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Balanced Score Card: a case in the semiconductor industry</w:t>
      </w:r>
      <w:r w:rsidR="00BA5B14">
        <w:rPr>
          <w:rFonts w:ascii="Times" w:hAnsi="Times" w:cs="Times"/>
          <w:lang w:val="en-US"/>
        </w:rPr>
        <w:t>.</w:t>
      </w:r>
    </w:p>
    <w:p w:rsidR="00765CDB" w:rsidRPr="00BA5B14" w:rsidRDefault="00765CDB" w:rsidP="00765CDB">
      <w:pPr>
        <w:spacing w:before="120" w:line="240" w:lineRule="exact"/>
        <w:rPr>
          <w:rFonts w:ascii="Times" w:hAnsi="Times" w:cs="Times"/>
          <w:lang w:val="en-US"/>
        </w:rPr>
      </w:pPr>
      <w:r w:rsidRPr="00BA5B14">
        <w:rPr>
          <w:rFonts w:ascii="Times" w:hAnsi="Times"/>
          <w:smallCaps/>
          <w:noProof/>
          <w:sz w:val="18"/>
          <w:szCs w:val="20"/>
          <w:lang w:val="en-US"/>
        </w:rPr>
        <w:t>Module 2</w:t>
      </w:r>
      <w:r w:rsidR="00BA5B14">
        <w:rPr>
          <w:rFonts w:ascii="Times" w:hAnsi="Times"/>
          <w:smallCaps/>
          <w:noProof/>
          <w:sz w:val="18"/>
          <w:szCs w:val="20"/>
          <w:lang w:val="en-US"/>
        </w:rPr>
        <w:t>:</w:t>
      </w:r>
      <w:r w:rsidRPr="00BA5B14">
        <w:rPr>
          <w:rFonts w:ascii="Times" w:hAnsi="Times" w:cs="Times"/>
          <w:lang w:val="en-US"/>
        </w:rPr>
        <w:t xml:space="preserve"> </w:t>
      </w:r>
      <w:r w:rsidRPr="00BA5B14">
        <w:rPr>
          <w:rFonts w:ascii="Times" w:hAnsi="Times" w:cs="Times"/>
          <w:i/>
          <w:lang w:val="en-US"/>
        </w:rPr>
        <w:t>Corporate strategies in technological industries: How to create and deliver value</w:t>
      </w:r>
      <w:r w:rsidRPr="00BA5B14">
        <w:rPr>
          <w:rFonts w:ascii="Times" w:hAnsi="Times" w:cs="Times"/>
          <w:lang w:val="en-US"/>
        </w:rPr>
        <w:t xml:space="preserve"> </w:t>
      </w:r>
      <w:r w:rsidR="00BA5B14">
        <w:rPr>
          <w:rFonts w:ascii="Times" w:hAnsi="Times" w:cs="Times"/>
          <w:lang w:val="en-US"/>
        </w:rPr>
        <w:t>(</w:t>
      </w:r>
      <w:r w:rsidR="00BA5B14" w:rsidRPr="00BA5B14">
        <w:rPr>
          <w:rFonts w:ascii="Times" w:hAnsi="Times" w:cs="Times"/>
          <w:lang w:val="en-US"/>
        </w:rPr>
        <w:t>Prof. Marco Minciullo</w:t>
      </w:r>
      <w:r w:rsidR="00BA5B14">
        <w:rPr>
          <w:rFonts w:ascii="Times" w:hAnsi="Times" w:cs="Times"/>
          <w:lang w:val="en-US"/>
        </w:rPr>
        <w:t>)</w:t>
      </w:r>
    </w:p>
    <w:p w:rsidR="00765CDB" w:rsidRPr="00BA5B14" w:rsidRDefault="00765CDB" w:rsidP="00765CDB">
      <w:pPr>
        <w:spacing w:line="240" w:lineRule="exact"/>
        <w:rPr>
          <w:rFonts w:ascii="Times" w:hAnsi="Times" w:cs="Times"/>
          <w:lang w:val="en-US"/>
        </w:rPr>
      </w:pPr>
      <w:r w:rsidRPr="00BA5B14">
        <w:rPr>
          <w:rFonts w:ascii="Times" w:hAnsi="Times" w:cs="Times"/>
          <w:lang w:val="en-US"/>
        </w:rPr>
        <w:t>–</w:t>
      </w:r>
      <w:r w:rsidRPr="00BA5B14">
        <w:rPr>
          <w:rFonts w:ascii="Times" w:hAnsi="Times" w:cs="Times"/>
          <w:lang w:val="en-US"/>
        </w:rPr>
        <w:tab/>
        <w:t>Foundations of Corporate Strategy:</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Corporate advantage</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Identifying resources</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Synergies: benefits to collaboration</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Governance costs</w:t>
      </w:r>
      <w:r w:rsidR="00BA5B14">
        <w:rPr>
          <w:rFonts w:ascii="Times" w:hAnsi="Times" w:cs="Times"/>
          <w:lang w:val="en-US"/>
        </w:rPr>
        <w:t>.</w:t>
      </w:r>
    </w:p>
    <w:p w:rsidR="00765CDB" w:rsidRPr="00BA5B14" w:rsidRDefault="00765CDB" w:rsidP="00765CDB">
      <w:pPr>
        <w:spacing w:line="240" w:lineRule="exact"/>
        <w:rPr>
          <w:rFonts w:ascii="Times" w:hAnsi="Times" w:cs="Times"/>
          <w:lang w:val="en-US"/>
        </w:rPr>
      </w:pPr>
      <w:r w:rsidRPr="00BA5B14">
        <w:rPr>
          <w:rFonts w:ascii="Times" w:hAnsi="Times" w:cs="Times"/>
          <w:lang w:val="en-US"/>
        </w:rPr>
        <w:t>–</w:t>
      </w:r>
      <w:r w:rsidRPr="00BA5B14">
        <w:rPr>
          <w:rFonts w:ascii="Times" w:hAnsi="Times" w:cs="Times"/>
          <w:lang w:val="en-US"/>
        </w:rPr>
        <w:tab/>
        <w:t>Decisions about portfolio composition: increasing the scope of the corporation:</w:t>
      </w:r>
    </w:p>
    <w:p w:rsidR="002D21CC" w:rsidRDefault="002D21CC" w:rsidP="00BA5B14">
      <w:pPr>
        <w:pStyle w:val="Paragrafoelenco"/>
        <w:numPr>
          <w:ilvl w:val="0"/>
          <w:numId w:val="14"/>
        </w:numPr>
        <w:spacing w:line="240" w:lineRule="exact"/>
        <w:rPr>
          <w:rFonts w:ascii="Times" w:hAnsi="Times" w:cs="Times"/>
          <w:lang w:val="en-US"/>
        </w:rPr>
      </w:pPr>
      <w:r w:rsidRPr="002D21CC">
        <w:rPr>
          <w:rFonts w:ascii="Times" w:hAnsi="Times" w:cs="Times"/>
          <w:lang w:val="en-US"/>
        </w:rPr>
        <w:t xml:space="preserve">Core business and diversification. </w:t>
      </w:r>
    </w:p>
    <w:p w:rsidR="002D21CC" w:rsidRDefault="002D21CC" w:rsidP="00BA5B14">
      <w:pPr>
        <w:pStyle w:val="Paragrafoelenco"/>
        <w:numPr>
          <w:ilvl w:val="0"/>
          <w:numId w:val="14"/>
        </w:numPr>
        <w:spacing w:line="240" w:lineRule="exact"/>
        <w:rPr>
          <w:rFonts w:ascii="Times" w:hAnsi="Times" w:cs="Times"/>
          <w:lang w:val="en-US"/>
        </w:rPr>
      </w:pPr>
      <w:r w:rsidRPr="002D21CC">
        <w:rPr>
          <w:rFonts w:ascii="Times" w:hAnsi="Times" w:cs="Times"/>
          <w:lang w:val="en-US"/>
        </w:rPr>
        <w:lastRenderedPageBreak/>
        <w:t xml:space="preserve">Portfolio matrix. </w:t>
      </w:r>
    </w:p>
    <w:p w:rsidR="00765CDB" w:rsidRPr="002D21CC" w:rsidRDefault="00765CDB" w:rsidP="00BA5B14">
      <w:pPr>
        <w:pStyle w:val="Paragrafoelenco"/>
        <w:numPr>
          <w:ilvl w:val="0"/>
          <w:numId w:val="14"/>
        </w:numPr>
        <w:spacing w:line="240" w:lineRule="exact"/>
        <w:rPr>
          <w:rFonts w:ascii="Times" w:hAnsi="Times" w:cs="Times"/>
          <w:lang w:val="en-US"/>
        </w:rPr>
      </w:pPr>
      <w:r w:rsidRPr="002D21CC">
        <w:rPr>
          <w:rFonts w:ascii="Times" w:hAnsi="Times" w:cs="Times"/>
          <w:lang w:val="en-US"/>
        </w:rPr>
        <w:t>Alternatives for growth</w:t>
      </w:r>
      <w:r w:rsidR="00BA5B14" w:rsidRPr="002D21CC">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Ally or acquire?</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Managing the M&amp;A process</w:t>
      </w:r>
      <w:r w:rsidR="00BA5B14">
        <w:rPr>
          <w:rFonts w:ascii="Times" w:hAnsi="Times" w:cs="Times"/>
          <w:lang w:val="en-US"/>
        </w:rPr>
        <w:t>.</w:t>
      </w:r>
    </w:p>
    <w:p w:rsidR="00765CDB"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Managing the alliance process</w:t>
      </w:r>
      <w:r w:rsidR="00BA5B14">
        <w:rPr>
          <w:rFonts w:ascii="Times" w:hAnsi="Times" w:cs="Times"/>
          <w:lang w:val="en-US"/>
        </w:rPr>
        <w:t>.</w:t>
      </w:r>
    </w:p>
    <w:p w:rsidR="008E361D" w:rsidRPr="00BA5B14" w:rsidRDefault="00BC0B20" w:rsidP="00BA5B14">
      <w:pPr>
        <w:pStyle w:val="Paragrafoelenco"/>
        <w:numPr>
          <w:ilvl w:val="0"/>
          <w:numId w:val="14"/>
        </w:numPr>
        <w:spacing w:line="240" w:lineRule="exact"/>
        <w:rPr>
          <w:rFonts w:ascii="Times" w:hAnsi="Times" w:cs="Times"/>
          <w:lang w:val="en-US"/>
        </w:rPr>
      </w:pPr>
      <w:r w:rsidRPr="00BC0B20">
        <w:rPr>
          <w:rFonts w:ascii="Times" w:hAnsi="Times" w:cs="Times"/>
          <w:lang w:val="en-US"/>
        </w:rPr>
        <w:t>Financial perspective of</w:t>
      </w:r>
      <w:r>
        <w:rPr>
          <w:rFonts w:ascii="Times" w:hAnsi="Times" w:cs="Times"/>
          <w:lang w:val="en-US"/>
        </w:rPr>
        <w:t xml:space="preserve"> portfolio decisions</w:t>
      </w:r>
    </w:p>
    <w:p w:rsidR="00765CDB" w:rsidRPr="00BA5B14" w:rsidRDefault="00765CDB" w:rsidP="00765CDB">
      <w:pPr>
        <w:spacing w:line="240" w:lineRule="exact"/>
        <w:rPr>
          <w:rFonts w:ascii="Times" w:hAnsi="Times" w:cs="Times"/>
          <w:lang w:val="en-US"/>
        </w:rPr>
      </w:pPr>
      <w:r w:rsidRPr="00BA5B14">
        <w:rPr>
          <w:rFonts w:ascii="Times" w:hAnsi="Times" w:cs="Times"/>
          <w:lang w:val="en-US"/>
        </w:rPr>
        <w:t>–</w:t>
      </w:r>
      <w:r w:rsidRPr="00BA5B14">
        <w:rPr>
          <w:rFonts w:ascii="Times" w:hAnsi="Times" w:cs="Times"/>
          <w:lang w:val="en-US"/>
        </w:rPr>
        <w:tab/>
        <w:t>Decisions about portfolio composition: reducing the scope of the corporation:</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Divestiture: stay or exit</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Outsourcing: make or buy</w:t>
      </w:r>
      <w:r w:rsidR="00BA5B14">
        <w:rPr>
          <w:rFonts w:ascii="Times" w:hAnsi="Times" w:cs="Times"/>
          <w:lang w:val="en-US"/>
        </w:rPr>
        <w:t>.</w:t>
      </w:r>
    </w:p>
    <w:p w:rsidR="00765CDB" w:rsidRPr="00765CDB" w:rsidRDefault="00765CDB" w:rsidP="00765CDB">
      <w:pPr>
        <w:spacing w:line="240" w:lineRule="exact"/>
        <w:rPr>
          <w:rFonts w:ascii="Times" w:hAnsi="Times" w:cs="Times"/>
        </w:rPr>
      </w:pPr>
      <w:r>
        <w:rPr>
          <w:rFonts w:ascii="Times" w:hAnsi="Times" w:cs="Times"/>
        </w:rPr>
        <w:t>–</w:t>
      </w:r>
      <w:r>
        <w:rPr>
          <w:rFonts w:ascii="Times" w:hAnsi="Times" w:cs="Times"/>
        </w:rPr>
        <w:tab/>
      </w:r>
      <w:proofErr w:type="spellStart"/>
      <w:r w:rsidRPr="00765CDB">
        <w:rPr>
          <w:rFonts w:ascii="Times" w:hAnsi="Times" w:cs="Times"/>
        </w:rPr>
        <w:t>Decisions</w:t>
      </w:r>
      <w:proofErr w:type="spellEnd"/>
      <w:r w:rsidRPr="00765CDB">
        <w:rPr>
          <w:rFonts w:ascii="Times" w:hAnsi="Times" w:cs="Times"/>
        </w:rPr>
        <w:t xml:space="preserve"> </w:t>
      </w:r>
      <w:proofErr w:type="spellStart"/>
      <w:r w:rsidRPr="00765CDB">
        <w:rPr>
          <w:rFonts w:ascii="Times" w:hAnsi="Times" w:cs="Times"/>
        </w:rPr>
        <w:t>about</w:t>
      </w:r>
      <w:proofErr w:type="spellEnd"/>
      <w:r w:rsidRPr="00765CDB">
        <w:rPr>
          <w:rFonts w:ascii="Times" w:hAnsi="Times" w:cs="Times"/>
        </w:rPr>
        <w:t xml:space="preserve"> portfolio </w:t>
      </w:r>
      <w:proofErr w:type="spellStart"/>
      <w:r w:rsidRPr="00765CDB">
        <w:rPr>
          <w:rFonts w:ascii="Times" w:hAnsi="Times" w:cs="Times"/>
        </w:rPr>
        <w:t>organization</w:t>
      </w:r>
      <w:proofErr w:type="spellEnd"/>
      <w:r>
        <w:rPr>
          <w:rFonts w:ascii="Times" w:hAnsi="Times" w:cs="Time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Designing the multi-business corporation</w:t>
      </w:r>
      <w:r w:rsidR="00BA5B14">
        <w:rPr>
          <w:rFonts w:ascii="Times" w:hAnsi="Times" w:cs="Times"/>
          <w:lang w:val="en-US"/>
        </w:rPr>
        <w:t>.</w:t>
      </w:r>
    </w:p>
    <w:p w:rsidR="00765CDB"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Designing the corporate HQ</w:t>
      </w:r>
      <w:r w:rsidR="00BA5B14">
        <w:rPr>
          <w:rFonts w:ascii="Times" w:hAnsi="Times" w:cs="Times"/>
          <w:lang w:val="en-US"/>
        </w:rPr>
        <w:t>.</w:t>
      </w:r>
    </w:p>
    <w:p w:rsidR="008E361D" w:rsidRPr="008E361D" w:rsidRDefault="008E361D" w:rsidP="00BA5B14">
      <w:pPr>
        <w:pStyle w:val="Paragrafoelenco"/>
        <w:numPr>
          <w:ilvl w:val="0"/>
          <w:numId w:val="14"/>
        </w:numPr>
        <w:spacing w:line="240" w:lineRule="exact"/>
        <w:rPr>
          <w:rFonts w:ascii="Times" w:hAnsi="Times" w:cs="Times"/>
          <w:lang w:val="en-US"/>
        </w:rPr>
      </w:pPr>
      <w:r>
        <w:rPr>
          <w:lang w:val="en-US"/>
        </w:rPr>
        <w:t xml:space="preserve">Control and cohesion mechanisms. </w:t>
      </w:r>
    </w:p>
    <w:p w:rsidR="008E361D" w:rsidRPr="00BA5B14" w:rsidRDefault="008E361D" w:rsidP="00BA5B14">
      <w:pPr>
        <w:pStyle w:val="Paragrafoelenco"/>
        <w:numPr>
          <w:ilvl w:val="0"/>
          <w:numId w:val="14"/>
        </w:numPr>
        <w:spacing w:line="240" w:lineRule="exact"/>
        <w:rPr>
          <w:rFonts w:ascii="Times" w:hAnsi="Times" w:cs="Times"/>
          <w:lang w:val="en-US"/>
        </w:rPr>
      </w:pPr>
      <w:r>
        <w:rPr>
          <w:lang w:val="en-US"/>
        </w:rPr>
        <w:t>Resources and competencies transfer.</w:t>
      </w:r>
    </w:p>
    <w:p w:rsidR="00765CDB" w:rsidRPr="00BA5B14" w:rsidRDefault="00765CDB" w:rsidP="00765CDB">
      <w:pPr>
        <w:spacing w:line="240" w:lineRule="exact"/>
        <w:rPr>
          <w:rFonts w:ascii="Times" w:hAnsi="Times" w:cs="Times"/>
          <w:lang w:val="en-US"/>
        </w:rPr>
      </w:pPr>
      <w:r w:rsidRPr="00BA5B14">
        <w:rPr>
          <w:rFonts w:ascii="Times" w:hAnsi="Times" w:cs="Times"/>
          <w:lang w:val="en-US"/>
        </w:rPr>
        <w:t>–</w:t>
      </w:r>
      <w:r w:rsidRPr="00BA5B14">
        <w:rPr>
          <w:rFonts w:ascii="Times" w:hAnsi="Times" w:cs="Times"/>
          <w:lang w:val="en-US"/>
        </w:rPr>
        <w:tab/>
        <w:t>Embedding corporate social responsibility in CS:</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Corporate social responsibility and shared value creation</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The path to embed CSR in corporate strategy</w:t>
      </w:r>
      <w:r w:rsidR="00BA5B14">
        <w:rPr>
          <w:rFonts w:ascii="Times" w:hAnsi="Times" w:cs="Times"/>
          <w:lang w:val="en-US"/>
        </w:rPr>
        <w:t>.</w:t>
      </w:r>
    </w:p>
    <w:p w:rsidR="00765CDB" w:rsidRPr="00BA5B14" w:rsidRDefault="00765CDB" w:rsidP="00BA5B14">
      <w:pPr>
        <w:pStyle w:val="Paragrafoelenco"/>
        <w:numPr>
          <w:ilvl w:val="0"/>
          <w:numId w:val="14"/>
        </w:numPr>
        <w:spacing w:line="240" w:lineRule="exact"/>
        <w:rPr>
          <w:rFonts w:ascii="Times" w:hAnsi="Times" w:cs="Times"/>
          <w:lang w:val="en-US"/>
        </w:rPr>
      </w:pPr>
      <w:r w:rsidRPr="00BA5B14">
        <w:rPr>
          <w:rFonts w:ascii="Times" w:hAnsi="Times" w:cs="Times"/>
          <w:lang w:val="en-US"/>
        </w:rPr>
        <w:t>Sustainability and emerging technologies</w:t>
      </w:r>
      <w:r w:rsidR="00BA5B14">
        <w:rPr>
          <w:rFonts w:ascii="Times" w:hAnsi="Times" w:cs="Times"/>
          <w:lang w:val="en-US"/>
        </w:rPr>
        <w:t>.</w:t>
      </w:r>
    </w:p>
    <w:p w:rsidR="00765CDB" w:rsidRPr="00BA5B14" w:rsidRDefault="00765CDB" w:rsidP="00BA5B14">
      <w:pPr>
        <w:spacing w:before="240" w:after="120"/>
        <w:rPr>
          <w:b/>
          <w:i/>
          <w:sz w:val="18"/>
          <w:lang w:val="en-US"/>
        </w:rPr>
      </w:pPr>
      <w:r w:rsidRPr="00BA5B14">
        <w:rPr>
          <w:b/>
          <w:i/>
          <w:sz w:val="18"/>
          <w:lang w:val="en-US"/>
        </w:rPr>
        <w:t>READING LIST</w:t>
      </w:r>
      <w:r w:rsidR="007E5AB2">
        <w:rPr>
          <w:rStyle w:val="Rimandonotaapidipagina"/>
          <w:b/>
          <w:i/>
          <w:sz w:val="18"/>
          <w:lang w:val="en-US"/>
        </w:rPr>
        <w:footnoteReference w:id="1"/>
      </w:r>
    </w:p>
    <w:p w:rsidR="00765CDB" w:rsidRPr="00765CDB" w:rsidRDefault="00765CDB" w:rsidP="00765CDB">
      <w:pPr>
        <w:pStyle w:val="Testo1"/>
        <w:spacing w:before="0"/>
        <w:rPr>
          <w:i/>
          <w:szCs w:val="18"/>
          <w:lang w:val="en-US"/>
        </w:rPr>
      </w:pPr>
      <w:r w:rsidRPr="00765CDB">
        <w:rPr>
          <w:i/>
          <w:szCs w:val="18"/>
          <w:lang w:val="en-US"/>
        </w:rPr>
        <w:t>Attending students:</w:t>
      </w:r>
    </w:p>
    <w:p w:rsidR="00765CDB" w:rsidRPr="00765CDB" w:rsidRDefault="00BA5B14" w:rsidP="00765CDB">
      <w:pPr>
        <w:pStyle w:val="Testo1"/>
        <w:spacing w:before="0"/>
        <w:rPr>
          <w:spacing w:val="-5"/>
          <w:szCs w:val="18"/>
          <w:lang w:val="en-US"/>
        </w:rPr>
      </w:pPr>
      <w:r w:rsidRPr="00BA5B14">
        <w:rPr>
          <w:spacing w:val="-5"/>
          <w:szCs w:val="18"/>
          <w:lang w:val="en-US"/>
        </w:rPr>
        <w:t xml:space="preserve">P. </w:t>
      </w:r>
      <w:r w:rsidR="00765CDB" w:rsidRPr="00BA5B14">
        <w:rPr>
          <w:spacing w:val="-5"/>
          <w:szCs w:val="18"/>
          <w:lang w:val="en-US"/>
        </w:rPr>
        <w:t>Puranam</w:t>
      </w:r>
      <w:r w:rsidRPr="00BA5B14">
        <w:rPr>
          <w:spacing w:val="-5"/>
          <w:szCs w:val="18"/>
          <w:lang w:val="en-US"/>
        </w:rPr>
        <w:t xml:space="preserve">-B. </w:t>
      </w:r>
      <w:r w:rsidR="00765CDB" w:rsidRPr="00BA5B14">
        <w:rPr>
          <w:spacing w:val="-5"/>
          <w:szCs w:val="18"/>
          <w:lang w:val="en-US"/>
        </w:rPr>
        <w:t xml:space="preserve">Vanneste, </w:t>
      </w:r>
      <w:r w:rsidR="00765CDB" w:rsidRPr="00765CDB">
        <w:rPr>
          <w:spacing w:val="-5"/>
          <w:szCs w:val="18"/>
          <w:lang w:val="en-US"/>
        </w:rPr>
        <w:t>Corporate strategy: Tools for analysis and decision-making, Cambridge University Press, 2016.</w:t>
      </w:r>
    </w:p>
    <w:p w:rsidR="00765CDB" w:rsidRPr="00765CDB" w:rsidRDefault="00765CDB" w:rsidP="00765CDB">
      <w:pPr>
        <w:pStyle w:val="Testo1"/>
        <w:spacing w:before="0"/>
        <w:rPr>
          <w:szCs w:val="18"/>
          <w:lang w:val="en-US"/>
        </w:rPr>
      </w:pPr>
      <w:r w:rsidRPr="00765CDB">
        <w:rPr>
          <w:rFonts w:eastAsiaTheme="minorHAnsi" w:cstheme="minorBidi"/>
          <w:szCs w:val="18"/>
          <w:lang w:val="en-US" w:eastAsia="en-US"/>
        </w:rPr>
        <w:t xml:space="preserve">Collection of materials (articles, case studies) </w:t>
      </w:r>
      <w:r w:rsidRPr="00765CDB">
        <w:rPr>
          <w:szCs w:val="18"/>
          <w:lang w:val="en-US"/>
        </w:rPr>
        <w:t>posted on BlackBoard.Unicatt: slides, case studies, exercises, and library links to readings.</w:t>
      </w:r>
    </w:p>
    <w:p w:rsidR="00765CDB" w:rsidRPr="00765CDB" w:rsidRDefault="00765CDB" w:rsidP="00765CDB">
      <w:pPr>
        <w:pStyle w:val="Testo1"/>
        <w:rPr>
          <w:i/>
          <w:szCs w:val="18"/>
          <w:lang w:val="en-US"/>
        </w:rPr>
      </w:pPr>
      <w:r w:rsidRPr="00765CDB">
        <w:rPr>
          <w:i/>
          <w:szCs w:val="18"/>
          <w:lang w:val="en-US"/>
        </w:rPr>
        <w:t>Not attending students:</w:t>
      </w:r>
    </w:p>
    <w:p w:rsidR="00765CDB" w:rsidRDefault="00BA5B14" w:rsidP="00765CDB">
      <w:pPr>
        <w:pStyle w:val="Testo1"/>
        <w:spacing w:before="0"/>
        <w:rPr>
          <w:spacing w:val="-5"/>
          <w:szCs w:val="18"/>
          <w:lang w:val="en-US"/>
        </w:rPr>
      </w:pPr>
      <w:r w:rsidRPr="00BA5B14">
        <w:rPr>
          <w:spacing w:val="-5"/>
          <w:szCs w:val="18"/>
          <w:lang w:val="en-US"/>
        </w:rPr>
        <w:t xml:space="preserve">P. Puranam-B. Vanneste, </w:t>
      </w:r>
      <w:r w:rsidR="00765CDB" w:rsidRPr="001B49C0">
        <w:rPr>
          <w:i/>
          <w:iCs/>
          <w:spacing w:val="-5"/>
          <w:szCs w:val="18"/>
          <w:lang w:val="en-US"/>
        </w:rPr>
        <w:t>Corporate strategy: Tools for analysis and decision-making</w:t>
      </w:r>
      <w:r w:rsidR="00765CDB" w:rsidRPr="00765CDB">
        <w:rPr>
          <w:spacing w:val="-5"/>
          <w:szCs w:val="18"/>
          <w:lang w:val="en-US"/>
        </w:rPr>
        <w:t>, Cambridge University Press, 2016.</w:t>
      </w:r>
    </w:p>
    <w:p w:rsidR="00E82AFD" w:rsidRDefault="00E82AFD" w:rsidP="00765CDB">
      <w:pPr>
        <w:pStyle w:val="Testo1"/>
        <w:spacing w:before="0"/>
        <w:rPr>
          <w:spacing w:val="-5"/>
          <w:szCs w:val="18"/>
          <w:lang w:val="en-US"/>
        </w:rPr>
      </w:pPr>
      <w:r w:rsidRPr="00E82AFD">
        <w:rPr>
          <w:spacing w:val="-5"/>
          <w:szCs w:val="18"/>
        </w:rPr>
        <w:t>Belussi, F., &amp; Orsi, L. (Eds.)</w:t>
      </w:r>
      <w:r w:rsidRPr="007C3257">
        <w:rPr>
          <w:spacing w:val="-5"/>
          <w:szCs w:val="18"/>
        </w:rPr>
        <w:t xml:space="preserve">. </w:t>
      </w:r>
      <w:r w:rsidRPr="007C3257">
        <w:rPr>
          <w:i/>
          <w:iCs/>
          <w:spacing w:val="-5"/>
          <w:szCs w:val="18"/>
          <w:lang w:val="en-US"/>
        </w:rPr>
        <w:t>Innovation, alliances, and networks in high-tech environments</w:t>
      </w:r>
      <w:r w:rsidRPr="00E82AFD">
        <w:rPr>
          <w:spacing w:val="-5"/>
          <w:szCs w:val="18"/>
          <w:lang w:val="en-US"/>
        </w:rPr>
        <w:t>. Routledge</w:t>
      </w:r>
      <w:r w:rsidR="007C3257">
        <w:rPr>
          <w:spacing w:val="-5"/>
          <w:szCs w:val="18"/>
          <w:lang w:val="en-US"/>
        </w:rPr>
        <w:t>, 2019</w:t>
      </w:r>
      <w:r w:rsidRPr="00E82AFD">
        <w:rPr>
          <w:spacing w:val="-5"/>
          <w:szCs w:val="18"/>
          <w:lang w:val="en-US"/>
        </w:rPr>
        <w:t>.</w:t>
      </w:r>
    </w:p>
    <w:p w:rsidR="00765CDB" w:rsidRPr="00765CDB" w:rsidRDefault="00765CDB" w:rsidP="00765CDB">
      <w:pPr>
        <w:pStyle w:val="Testo1"/>
        <w:spacing w:before="0"/>
        <w:rPr>
          <w:szCs w:val="18"/>
          <w:lang w:val="en-US"/>
        </w:rPr>
      </w:pPr>
      <w:r w:rsidRPr="00765CDB">
        <w:rPr>
          <w:rFonts w:eastAsiaTheme="minorHAnsi" w:cstheme="minorBidi"/>
          <w:szCs w:val="18"/>
          <w:lang w:val="en-US" w:eastAsia="en-US"/>
        </w:rPr>
        <w:t xml:space="preserve">Collection of materials (articles, case studies) </w:t>
      </w:r>
      <w:r w:rsidRPr="00765CDB">
        <w:rPr>
          <w:szCs w:val="18"/>
          <w:lang w:val="en-US"/>
        </w:rPr>
        <w:t>posted on BlackBoard.Unicatt: slides, case studies, exercises, and library links to readings.</w:t>
      </w:r>
    </w:p>
    <w:p w:rsidR="00765CDB" w:rsidRPr="00BA5B14" w:rsidRDefault="00765CDB" w:rsidP="00765CDB">
      <w:pPr>
        <w:spacing w:before="240" w:after="120"/>
        <w:rPr>
          <w:b/>
          <w:i/>
          <w:sz w:val="18"/>
          <w:lang w:val="en-US"/>
        </w:rPr>
      </w:pPr>
      <w:r w:rsidRPr="00BA5B14">
        <w:rPr>
          <w:b/>
          <w:i/>
          <w:sz w:val="18"/>
          <w:lang w:val="en-US"/>
        </w:rPr>
        <w:t>TEACHING METHOD</w:t>
      </w:r>
    </w:p>
    <w:p w:rsidR="00F75602" w:rsidRDefault="00F75602" w:rsidP="00F75602">
      <w:pPr>
        <w:tabs>
          <w:tab w:val="clear" w:pos="284"/>
        </w:tabs>
        <w:ind w:firstLine="284"/>
        <w:rPr>
          <w:rFonts w:ascii="Times" w:hAnsi="Times"/>
          <w:noProof/>
          <w:sz w:val="18"/>
          <w:szCs w:val="20"/>
          <w:lang w:val="en-GB"/>
        </w:rPr>
      </w:pPr>
      <w:bookmarkStart w:id="1" w:name="_Hlk40527764"/>
      <w:r w:rsidRPr="00EE6376">
        <w:rPr>
          <w:rFonts w:ascii="Times" w:hAnsi="Times"/>
          <w:noProof/>
          <w:sz w:val="18"/>
          <w:szCs w:val="20"/>
          <w:lang w:val="en-GB"/>
        </w:rPr>
        <w:t xml:space="preserve">The course consists of </w:t>
      </w:r>
      <w:r w:rsidRPr="00302EBB">
        <w:rPr>
          <w:rFonts w:ascii="Times" w:hAnsi="Times"/>
          <w:noProof/>
          <w:sz w:val="18"/>
          <w:szCs w:val="20"/>
          <w:lang w:val="en-GB"/>
        </w:rPr>
        <w:t>lectures</w:t>
      </w:r>
      <w:r>
        <w:rPr>
          <w:rFonts w:ascii="Times" w:hAnsi="Times"/>
          <w:noProof/>
          <w:sz w:val="18"/>
          <w:szCs w:val="20"/>
          <w:lang w:val="en-GB"/>
        </w:rPr>
        <w:t>, t</w:t>
      </w:r>
      <w:r w:rsidRPr="00302EBB">
        <w:rPr>
          <w:rFonts w:ascii="Times" w:hAnsi="Times"/>
          <w:noProof/>
          <w:sz w:val="18"/>
          <w:szCs w:val="20"/>
          <w:lang w:val="en-GB"/>
        </w:rPr>
        <w:t xml:space="preserve">estimonies and </w:t>
      </w:r>
      <w:r>
        <w:rPr>
          <w:rFonts w:ascii="Times" w:hAnsi="Times"/>
          <w:noProof/>
          <w:sz w:val="18"/>
          <w:szCs w:val="20"/>
          <w:lang w:val="en-GB"/>
        </w:rPr>
        <w:t>s</w:t>
      </w:r>
      <w:r w:rsidRPr="00302EBB">
        <w:rPr>
          <w:rFonts w:ascii="Times" w:hAnsi="Times"/>
          <w:noProof/>
          <w:sz w:val="18"/>
          <w:szCs w:val="20"/>
          <w:lang w:val="en-GB"/>
        </w:rPr>
        <w:t>eminars</w:t>
      </w:r>
      <w:r>
        <w:rPr>
          <w:rFonts w:ascii="Times" w:hAnsi="Times"/>
          <w:noProof/>
          <w:sz w:val="18"/>
          <w:szCs w:val="20"/>
          <w:lang w:val="en-GB"/>
        </w:rPr>
        <w:t>, c</w:t>
      </w:r>
      <w:r w:rsidRPr="00302EBB">
        <w:rPr>
          <w:rFonts w:ascii="Times" w:hAnsi="Times"/>
          <w:noProof/>
          <w:sz w:val="18"/>
          <w:szCs w:val="20"/>
          <w:lang w:val="en-GB"/>
        </w:rPr>
        <w:t>ase-study and case-problem discussions</w:t>
      </w:r>
      <w:r>
        <w:rPr>
          <w:rFonts w:ascii="Times" w:hAnsi="Times"/>
          <w:noProof/>
          <w:sz w:val="18"/>
          <w:szCs w:val="20"/>
          <w:lang w:val="en-GB"/>
        </w:rPr>
        <w:t xml:space="preserve">, a group </w:t>
      </w:r>
      <w:r w:rsidRPr="00EE6376">
        <w:rPr>
          <w:rFonts w:ascii="Times" w:hAnsi="Times"/>
          <w:noProof/>
          <w:sz w:val="18"/>
          <w:szCs w:val="20"/>
          <w:lang w:val="en-GB"/>
        </w:rPr>
        <w:t xml:space="preserve"> project</w:t>
      </w:r>
      <w:r>
        <w:rPr>
          <w:rFonts w:ascii="Times" w:hAnsi="Times"/>
          <w:noProof/>
          <w:sz w:val="18"/>
          <w:szCs w:val="20"/>
          <w:lang w:val="en-GB"/>
        </w:rPr>
        <w:t>.</w:t>
      </w:r>
      <w:r w:rsidRPr="00EE6376">
        <w:rPr>
          <w:rFonts w:ascii="Times" w:hAnsi="Times"/>
          <w:noProof/>
          <w:sz w:val="18"/>
          <w:szCs w:val="20"/>
          <w:lang w:val="en-GB"/>
        </w:rPr>
        <w:t xml:space="preserve"> </w:t>
      </w:r>
    </w:p>
    <w:p w:rsidR="00765CDB" w:rsidRPr="00765CDB" w:rsidRDefault="00765CDB" w:rsidP="00765CDB">
      <w:pPr>
        <w:pStyle w:val="Testo2"/>
        <w:rPr>
          <w:lang w:val="en-GB"/>
        </w:rPr>
      </w:pPr>
      <w:r>
        <w:rPr>
          <w:lang w:val="en-GB"/>
        </w:rPr>
        <w:lastRenderedPageBreak/>
        <w:t>Attending Students are required to participate actively in class; to discuss business cases; and to deliver presentations.</w:t>
      </w:r>
    </w:p>
    <w:bookmarkEnd w:id="1"/>
    <w:p w:rsidR="00D63AA0" w:rsidRDefault="00D63AA0">
      <w:pPr>
        <w:tabs>
          <w:tab w:val="clear" w:pos="284"/>
        </w:tabs>
        <w:spacing w:line="240" w:lineRule="auto"/>
        <w:jc w:val="left"/>
        <w:rPr>
          <w:b/>
          <w:i/>
          <w:sz w:val="18"/>
          <w:lang w:val="en-US"/>
        </w:rPr>
      </w:pPr>
      <w:r>
        <w:rPr>
          <w:b/>
          <w:i/>
          <w:sz w:val="18"/>
          <w:lang w:val="en-US"/>
        </w:rPr>
        <w:br w:type="page"/>
      </w:r>
    </w:p>
    <w:p w:rsidR="00765CDB" w:rsidRPr="00BA5B14" w:rsidRDefault="00765CDB" w:rsidP="00765CDB">
      <w:pPr>
        <w:spacing w:before="240" w:after="120"/>
        <w:rPr>
          <w:b/>
          <w:i/>
          <w:sz w:val="18"/>
          <w:lang w:val="en-US"/>
        </w:rPr>
      </w:pPr>
      <w:r w:rsidRPr="00BA5B14">
        <w:rPr>
          <w:b/>
          <w:i/>
          <w:sz w:val="18"/>
          <w:lang w:val="en-US"/>
        </w:rPr>
        <w:lastRenderedPageBreak/>
        <w:t>ASSESSMENT METHOD AND CRITERIA</w:t>
      </w:r>
    </w:p>
    <w:p w:rsidR="00765CDB" w:rsidRPr="00193368" w:rsidRDefault="00765CDB" w:rsidP="00765CDB">
      <w:pPr>
        <w:pStyle w:val="Testo2"/>
        <w:rPr>
          <w:lang w:val="en-GB"/>
        </w:rPr>
      </w:pPr>
      <w:r w:rsidRPr="00193368">
        <w:rPr>
          <w:lang w:val="en-GB"/>
        </w:rPr>
        <w:t>The two modules converge to a unique final mark. The latter is the result of the following evaluations:</w:t>
      </w:r>
    </w:p>
    <w:p w:rsidR="00C160BE" w:rsidRDefault="00C160BE" w:rsidP="00C160BE">
      <w:pPr>
        <w:tabs>
          <w:tab w:val="left" w:pos="708"/>
        </w:tabs>
        <w:ind w:left="284"/>
        <w:rPr>
          <w:rFonts w:ascii="Times" w:hAnsi="Times"/>
          <w:i/>
          <w:noProof/>
          <w:sz w:val="18"/>
          <w:lang w:val="en-US"/>
        </w:rPr>
      </w:pPr>
      <w:bookmarkStart w:id="2" w:name="_Hlk8650076"/>
    </w:p>
    <w:p w:rsidR="00C160BE" w:rsidRDefault="00C160BE" w:rsidP="00C160BE">
      <w:pPr>
        <w:tabs>
          <w:tab w:val="left" w:pos="708"/>
        </w:tabs>
        <w:ind w:left="284"/>
        <w:rPr>
          <w:rFonts w:ascii="Times" w:hAnsi="Times"/>
          <w:noProof/>
          <w:sz w:val="18"/>
          <w:szCs w:val="20"/>
          <w:lang w:val="en-US"/>
        </w:rPr>
      </w:pPr>
      <w:r>
        <w:rPr>
          <w:rFonts w:ascii="Times" w:hAnsi="Times"/>
          <w:i/>
          <w:noProof/>
          <w:sz w:val="18"/>
          <w:lang w:val="en-US"/>
        </w:rPr>
        <w:t>Attending students:</w:t>
      </w:r>
    </w:p>
    <w:p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 xml:space="preserve">For attending students, the final grade will be based partially (60%) on a final exam in written form with a combination of questions with open-ended and closed-ended answers, analyses of cases and written essays, based on the reading list for attending students. The exam will assess the knowledge of most important theories and frameworks in the business strategy and the ability of their application. and </w:t>
      </w:r>
    </w:p>
    <w:p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The remaining part of the final grade (40%) will be determined by a group work aimed at assessing the strategic skills and capacities and communication skills. More details will be communicated at the beginning of the course and made available on Blackboard. Students will be qualified as attending students only until the December exam session. Afterwards, they will have to take the exam as not attending students.</w:t>
      </w:r>
    </w:p>
    <w:p w:rsidR="00C160BE" w:rsidRDefault="00C160BE" w:rsidP="00C160BE">
      <w:pPr>
        <w:tabs>
          <w:tab w:val="left" w:pos="708"/>
        </w:tabs>
        <w:spacing w:before="120"/>
        <w:ind w:left="284"/>
        <w:rPr>
          <w:rFonts w:ascii="Times" w:hAnsi="Times"/>
          <w:i/>
          <w:noProof/>
          <w:sz w:val="18"/>
          <w:szCs w:val="20"/>
          <w:lang w:val="en-US"/>
        </w:rPr>
      </w:pPr>
      <w:r>
        <w:rPr>
          <w:rFonts w:ascii="Times" w:hAnsi="Times"/>
          <w:i/>
          <w:noProof/>
          <w:sz w:val="18"/>
          <w:lang w:val="en-US"/>
        </w:rPr>
        <w:t>Not attending students:</w:t>
      </w:r>
    </w:p>
    <w:p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 xml:space="preserve">For not attending students, with a combination of questions with open-ended and closed-ended answers, analyses of cases and written essays, based on the reading list for non-attending students. The exam will assess the knowledge of most important theories and frameworks in the business strategy and the ability of their application. </w:t>
      </w:r>
      <w:bookmarkEnd w:id="2"/>
    </w:p>
    <w:p w:rsidR="00765CDB" w:rsidRPr="00BA5B14" w:rsidRDefault="00765CDB" w:rsidP="00765CDB">
      <w:pPr>
        <w:spacing w:before="240" w:after="120" w:line="240" w:lineRule="exact"/>
        <w:rPr>
          <w:b/>
          <w:i/>
          <w:sz w:val="18"/>
          <w:lang w:val="en-US"/>
        </w:rPr>
      </w:pPr>
      <w:r w:rsidRPr="00BA5B14">
        <w:rPr>
          <w:b/>
          <w:i/>
          <w:sz w:val="18"/>
          <w:lang w:val="en-US"/>
        </w:rPr>
        <w:t>NOTES AND PREREQUISITES</w:t>
      </w:r>
    </w:p>
    <w:p w:rsidR="00765CDB" w:rsidRDefault="00765CDB" w:rsidP="00765CDB">
      <w:pPr>
        <w:pStyle w:val="Testo2"/>
        <w:rPr>
          <w:lang w:val="en-US"/>
        </w:rPr>
      </w:pPr>
      <w:r w:rsidRPr="0050068F">
        <w:rPr>
          <w:lang w:val="en-US"/>
        </w:rPr>
        <w:t xml:space="preserve">Attending formula is strongly recommended to benefit from participating in </w:t>
      </w:r>
      <w:r>
        <w:rPr>
          <w:lang w:val="en-US"/>
        </w:rPr>
        <w:t>case discussions and in the</w:t>
      </w:r>
      <w:r w:rsidRPr="0050068F">
        <w:rPr>
          <w:lang w:val="en-US"/>
        </w:rPr>
        <w:t xml:space="preserve"> group </w:t>
      </w:r>
      <w:r>
        <w:rPr>
          <w:lang w:val="en-US"/>
        </w:rPr>
        <w:t>project.</w:t>
      </w:r>
    </w:p>
    <w:p w:rsidR="00182420" w:rsidRPr="00182420" w:rsidRDefault="00182420" w:rsidP="00182420">
      <w:pPr>
        <w:pStyle w:val="Testo2"/>
        <w:spacing w:before="120"/>
        <w:rPr>
          <w:lang w:val="en-US"/>
        </w:rPr>
      </w:pPr>
      <w:r w:rsidRPr="00182420">
        <w:rPr>
          <w:lang w:val="en-US"/>
        </w:rPr>
        <w:t>In case the current Covid-19 health emergency does not allow frontal teaching, remote teaching will be carried out following procedures that will be promptly notified to students.</w:t>
      </w:r>
    </w:p>
    <w:p w:rsidR="00182420" w:rsidRPr="00765CDB" w:rsidRDefault="00182420" w:rsidP="00765CDB">
      <w:pPr>
        <w:pStyle w:val="Testo2"/>
        <w:rPr>
          <w:lang w:val="en-US"/>
        </w:rPr>
      </w:pPr>
    </w:p>
    <w:sectPr w:rsidR="00182420" w:rsidRPr="00765C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B2" w:rsidRDefault="007E5AB2" w:rsidP="007E5AB2">
      <w:pPr>
        <w:spacing w:line="240" w:lineRule="auto"/>
      </w:pPr>
      <w:r>
        <w:separator/>
      </w:r>
    </w:p>
  </w:endnote>
  <w:endnote w:type="continuationSeparator" w:id="0">
    <w:p w:rsidR="007E5AB2" w:rsidRDefault="007E5AB2" w:rsidP="007E5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a">
    <w:altName w:val="Times New Roman"/>
    <w:charset w:val="01"/>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B2" w:rsidRDefault="007E5AB2" w:rsidP="007E5AB2">
      <w:pPr>
        <w:spacing w:line="240" w:lineRule="auto"/>
      </w:pPr>
      <w:r>
        <w:separator/>
      </w:r>
    </w:p>
  </w:footnote>
  <w:footnote w:type="continuationSeparator" w:id="0">
    <w:p w:rsidR="007E5AB2" w:rsidRDefault="007E5AB2" w:rsidP="007E5AB2">
      <w:pPr>
        <w:spacing w:line="240" w:lineRule="auto"/>
      </w:pPr>
      <w:r>
        <w:continuationSeparator/>
      </w:r>
    </w:p>
  </w:footnote>
  <w:footnote w:id="1">
    <w:p w:rsidR="007E5AB2" w:rsidRPr="001D7759" w:rsidRDefault="007E5AB2" w:rsidP="007E5AB2">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7E5AB2" w:rsidRDefault="007E5AB2">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69A"/>
    <w:multiLevelType w:val="hybridMultilevel"/>
    <w:tmpl w:val="90BAD21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90C0B"/>
    <w:multiLevelType w:val="hybridMultilevel"/>
    <w:tmpl w:val="7386351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4E3489"/>
    <w:multiLevelType w:val="hybridMultilevel"/>
    <w:tmpl w:val="604CADB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E00E33"/>
    <w:multiLevelType w:val="hybridMultilevel"/>
    <w:tmpl w:val="D6D647C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2F3034"/>
    <w:multiLevelType w:val="hybridMultilevel"/>
    <w:tmpl w:val="EFDC7F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507136"/>
    <w:multiLevelType w:val="hybridMultilevel"/>
    <w:tmpl w:val="07D246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2EF643C2"/>
    <w:multiLevelType w:val="hybridMultilevel"/>
    <w:tmpl w:val="417C8D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F0788B"/>
    <w:multiLevelType w:val="hybridMultilevel"/>
    <w:tmpl w:val="6C463DB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822059"/>
    <w:multiLevelType w:val="hybridMultilevel"/>
    <w:tmpl w:val="6C962644"/>
    <w:lvl w:ilvl="0" w:tplc="DFA0BCA4">
      <w:numFmt w:val="bullet"/>
      <w:lvlText w:val=""/>
      <w:lvlJc w:val="left"/>
      <w:pPr>
        <w:ind w:left="720" w:hanging="360"/>
      </w:pPr>
      <w:rPr>
        <w:rFonts w:ascii="Symbol" w:eastAsia="Times New Roman" w:hAnsi="Symbol"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6464A7"/>
    <w:multiLevelType w:val="hybridMultilevel"/>
    <w:tmpl w:val="49FA52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FB20D60"/>
    <w:multiLevelType w:val="hybridMultilevel"/>
    <w:tmpl w:val="13A031CA"/>
    <w:lvl w:ilvl="0" w:tplc="55922990">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2DF5006"/>
    <w:multiLevelType w:val="hybridMultilevel"/>
    <w:tmpl w:val="7A58E7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3F712E"/>
    <w:multiLevelType w:val="hybridMultilevel"/>
    <w:tmpl w:val="71380F3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7"/>
  </w:num>
  <w:num w:numId="7">
    <w:abstractNumId w:val="12"/>
  </w:num>
  <w:num w:numId="8">
    <w:abstractNumId w:val="3"/>
  </w:num>
  <w:num w:numId="9">
    <w:abstractNumId w:val="6"/>
  </w:num>
  <w:num w:numId="10">
    <w:abstractNumId w:val="0"/>
  </w:num>
  <w:num w:numId="11">
    <w:abstractNumId w:val="9"/>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BE"/>
    <w:rsid w:val="000A76DE"/>
    <w:rsid w:val="000D57BE"/>
    <w:rsid w:val="00182420"/>
    <w:rsid w:val="00187B99"/>
    <w:rsid w:val="001B49C0"/>
    <w:rsid w:val="002014DD"/>
    <w:rsid w:val="002D21CC"/>
    <w:rsid w:val="002D5E17"/>
    <w:rsid w:val="004D1217"/>
    <w:rsid w:val="004D6008"/>
    <w:rsid w:val="00577668"/>
    <w:rsid w:val="00640794"/>
    <w:rsid w:val="006F1772"/>
    <w:rsid w:val="00765CDB"/>
    <w:rsid w:val="007C3257"/>
    <w:rsid w:val="007E5AB2"/>
    <w:rsid w:val="008942E7"/>
    <w:rsid w:val="008A1204"/>
    <w:rsid w:val="008E361D"/>
    <w:rsid w:val="00900CCA"/>
    <w:rsid w:val="00924B77"/>
    <w:rsid w:val="00940DA2"/>
    <w:rsid w:val="00996625"/>
    <w:rsid w:val="009E055C"/>
    <w:rsid w:val="00A74F6F"/>
    <w:rsid w:val="00AD7557"/>
    <w:rsid w:val="00B50C5D"/>
    <w:rsid w:val="00B51253"/>
    <w:rsid w:val="00B525CC"/>
    <w:rsid w:val="00BA5B14"/>
    <w:rsid w:val="00BC0B20"/>
    <w:rsid w:val="00C160BE"/>
    <w:rsid w:val="00CA6094"/>
    <w:rsid w:val="00D404F2"/>
    <w:rsid w:val="00D63AA0"/>
    <w:rsid w:val="00E607E6"/>
    <w:rsid w:val="00E82AFD"/>
    <w:rsid w:val="00EA0BA8"/>
    <w:rsid w:val="00F75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765CDB"/>
    <w:rPr>
      <w:rFonts w:ascii="Helvetia" w:hAnsi="Helvetia"/>
      <w:sz w:val="24"/>
      <w:szCs w:val="24"/>
      <w:lang w:val="en-US"/>
    </w:rPr>
  </w:style>
  <w:style w:type="paragraph" w:customStyle="1" w:styleId="ITMAN">
    <w:name w:val="I&amp;T MAN"/>
    <w:basedOn w:val="Nessunaspaziatura"/>
    <w:link w:val="ITMANChar"/>
    <w:qFormat/>
    <w:rsid w:val="00765CDB"/>
    <w:pPr>
      <w:tabs>
        <w:tab w:val="clear" w:pos="284"/>
      </w:tabs>
    </w:pPr>
    <w:rPr>
      <w:rFonts w:ascii="Helvetia" w:hAnsi="Helvetia"/>
      <w:sz w:val="24"/>
      <w:lang w:val="en-US"/>
    </w:rPr>
  </w:style>
  <w:style w:type="character" w:styleId="Enfasigrassetto">
    <w:name w:val="Strong"/>
    <w:uiPriority w:val="22"/>
    <w:qFormat/>
    <w:rsid w:val="00765CDB"/>
    <w:rPr>
      <w:b/>
      <w:bCs/>
    </w:rPr>
  </w:style>
  <w:style w:type="paragraph" w:styleId="Nessunaspaziatura">
    <w:name w:val="No Spacing"/>
    <w:uiPriority w:val="1"/>
    <w:qFormat/>
    <w:rsid w:val="00765CDB"/>
    <w:pPr>
      <w:tabs>
        <w:tab w:val="left" w:pos="284"/>
      </w:tabs>
      <w:jc w:val="both"/>
    </w:pPr>
    <w:rPr>
      <w:szCs w:val="24"/>
    </w:rPr>
  </w:style>
  <w:style w:type="paragraph" w:styleId="Paragrafoelenco">
    <w:name w:val="List Paragraph"/>
    <w:basedOn w:val="Normale"/>
    <w:uiPriority w:val="34"/>
    <w:qFormat/>
    <w:rsid w:val="00765CDB"/>
    <w:pPr>
      <w:ind w:left="720"/>
      <w:contextualSpacing/>
    </w:pPr>
  </w:style>
  <w:style w:type="paragraph" w:styleId="Testonotaapidipagina">
    <w:name w:val="footnote text"/>
    <w:basedOn w:val="Normale"/>
    <w:link w:val="TestonotaapidipaginaCarattere"/>
    <w:rsid w:val="007E5AB2"/>
    <w:pPr>
      <w:spacing w:line="240" w:lineRule="auto"/>
    </w:pPr>
    <w:rPr>
      <w:szCs w:val="20"/>
    </w:rPr>
  </w:style>
  <w:style w:type="character" w:customStyle="1" w:styleId="TestonotaapidipaginaCarattere">
    <w:name w:val="Testo nota a piè di pagina Carattere"/>
    <w:basedOn w:val="Carpredefinitoparagrafo"/>
    <w:link w:val="Testonotaapidipagina"/>
    <w:rsid w:val="007E5AB2"/>
  </w:style>
  <w:style w:type="character" w:styleId="Rimandonotaapidipagina">
    <w:name w:val="footnote reference"/>
    <w:basedOn w:val="Carpredefinitoparagrafo"/>
    <w:rsid w:val="007E5A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765CDB"/>
    <w:rPr>
      <w:rFonts w:ascii="Helvetia" w:hAnsi="Helvetia"/>
      <w:sz w:val="24"/>
      <w:szCs w:val="24"/>
      <w:lang w:val="en-US"/>
    </w:rPr>
  </w:style>
  <w:style w:type="paragraph" w:customStyle="1" w:styleId="ITMAN">
    <w:name w:val="I&amp;T MAN"/>
    <w:basedOn w:val="Nessunaspaziatura"/>
    <w:link w:val="ITMANChar"/>
    <w:qFormat/>
    <w:rsid w:val="00765CDB"/>
    <w:pPr>
      <w:tabs>
        <w:tab w:val="clear" w:pos="284"/>
      </w:tabs>
    </w:pPr>
    <w:rPr>
      <w:rFonts w:ascii="Helvetia" w:hAnsi="Helvetia"/>
      <w:sz w:val="24"/>
      <w:lang w:val="en-US"/>
    </w:rPr>
  </w:style>
  <w:style w:type="character" w:styleId="Enfasigrassetto">
    <w:name w:val="Strong"/>
    <w:uiPriority w:val="22"/>
    <w:qFormat/>
    <w:rsid w:val="00765CDB"/>
    <w:rPr>
      <w:b/>
      <w:bCs/>
    </w:rPr>
  </w:style>
  <w:style w:type="paragraph" w:styleId="Nessunaspaziatura">
    <w:name w:val="No Spacing"/>
    <w:uiPriority w:val="1"/>
    <w:qFormat/>
    <w:rsid w:val="00765CDB"/>
    <w:pPr>
      <w:tabs>
        <w:tab w:val="left" w:pos="284"/>
      </w:tabs>
      <w:jc w:val="both"/>
    </w:pPr>
    <w:rPr>
      <w:szCs w:val="24"/>
    </w:rPr>
  </w:style>
  <w:style w:type="paragraph" w:styleId="Paragrafoelenco">
    <w:name w:val="List Paragraph"/>
    <w:basedOn w:val="Normale"/>
    <w:uiPriority w:val="34"/>
    <w:qFormat/>
    <w:rsid w:val="00765CDB"/>
    <w:pPr>
      <w:ind w:left="720"/>
      <w:contextualSpacing/>
    </w:pPr>
  </w:style>
  <w:style w:type="paragraph" w:styleId="Testonotaapidipagina">
    <w:name w:val="footnote text"/>
    <w:basedOn w:val="Normale"/>
    <w:link w:val="TestonotaapidipaginaCarattere"/>
    <w:rsid w:val="007E5AB2"/>
    <w:pPr>
      <w:spacing w:line="240" w:lineRule="auto"/>
    </w:pPr>
    <w:rPr>
      <w:szCs w:val="20"/>
    </w:rPr>
  </w:style>
  <w:style w:type="character" w:customStyle="1" w:styleId="TestonotaapidipaginaCarattere">
    <w:name w:val="Testo nota a piè di pagina Carattere"/>
    <w:basedOn w:val="Carpredefinitoparagrafo"/>
    <w:link w:val="Testonotaapidipagina"/>
    <w:rsid w:val="007E5AB2"/>
  </w:style>
  <w:style w:type="character" w:styleId="Rimandonotaapidipagina">
    <w:name w:val="footnote reference"/>
    <w:basedOn w:val="Carpredefinitoparagrafo"/>
    <w:rsid w:val="007E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46052">
      <w:bodyDiv w:val="1"/>
      <w:marLeft w:val="0"/>
      <w:marRight w:val="0"/>
      <w:marTop w:val="0"/>
      <w:marBottom w:val="0"/>
      <w:divBdr>
        <w:top w:val="none" w:sz="0" w:space="0" w:color="auto"/>
        <w:left w:val="none" w:sz="0" w:space="0" w:color="auto"/>
        <w:bottom w:val="none" w:sz="0" w:space="0" w:color="auto"/>
        <w:right w:val="none" w:sz="0" w:space="0" w:color="auto"/>
      </w:divBdr>
    </w:div>
    <w:div w:id="907501332">
      <w:bodyDiv w:val="1"/>
      <w:marLeft w:val="0"/>
      <w:marRight w:val="0"/>
      <w:marTop w:val="0"/>
      <w:marBottom w:val="0"/>
      <w:divBdr>
        <w:top w:val="none" w:sz="0" w:space="0" w:color="auto"/>
        <w:left w:val="none" w:sz="0" w:space="0" w:color="auto"/>
        <w:bottom w:val="none" w:sz="0" w:space="0" w:color="auto"/>
        <w:right w:val="none" w:sz="0" w:space="0" w:color="auto"/>
      </w:divBdr>
    </w:div>
    <w:div w:id="1813012706">
      <w:bodyDiv w:val="1"/>
      <w:marLeft w:val="0"/>
      <w:marRight w:val="0"/>
      <w:marTop w:val="0"/>
      <w:marBottom w:val="0"/>
      <w:divBdr>
        <w:top w:val="none" w:sz="0" w:space="0" w:color="auto"/>
        <w:left w:val="none" w:sz="0" w:space="0" w:color="auto"/>
        <w:bottom w:val="none" w:sz="0" w:space="0" w:color="auto"/>
        <w:right w:val="none" w:sz="0" w:space="0" w:color="auto"/>
      </w:divBdr>
    </w:div>
    <w:div w:id="18506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0E6F-0999-4741-AF86-B16D474E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978</Words>
  <Characters>5977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2020-05-20T06:50:00Z</dcterms:created>
  <dcterms:modified xsi:type="dcterms:W3CDTF">2020-07-30T10:33:00Z</dcterms:modified>
</cp:coreProperties>
</file>