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F9" w:rsidRDefault="001651F9" w:rsidP="001651F9">
      <w:pPr>
        <w:pStyle w:val="Titolo1"/>
        <w:ind w:left="0" w:firstLine="0"/>
      </w:pPr>
      <w:r>
        <w:t>Sociologia dei fenomeni collettivi</w:t>
      </w:r>
    </w:p>
    <w:p w:rsidR="001651F9" w:rsidRPr="000965D5" w:rsidRDefault="001651F9" w:rsidP="001651F9">
      <w:pPr>
        <w:pStyle w:val="Titolo2"/>
      </w:pPr>
      <w:r>
        <w:t>Prof. Cristina Pasqualini</w:t>
      </w:r>
    </w:p>
    <w:p w:rsidR="002D5E17" w:rsidRDefault="001651F9" w:rsidP="001651F9">
      <w:pPr>
        <w:spacing w:before="240" w:after="120" w:line="240" w:lineRule="exact"/>
        <w:rPr>
          <w:b/>
          <w:sz w:val="18"/>
        </w:rPr>
      </w:pPr>
      <w:r>
        <w:rPr>
          <w:b/>
          <w:i/>
          <w:sz w:val="18"/>
        </w:rPr>
        <w:t>OBIETTIVO DEL CORSO E RISULTATI DI APPRENDIMENTO ATTESI</w:t>
      </w:r>
    </w:p>
    <w:p w:rsidR="00064364" w:rsidRDefault="00064364" w:rsidP="00064364">
      <w:pPr>
        <w:spacing w:line="240" w:lineRule="exact"/>
      </w:pPr>
      <w:r>
        <w:t>Il corso in Sociologia dei fenomeni collettivi persegue i seguenti obiettivi didattici:</w:t>
      </w:r>
    </w:p>
    <w:p w:rsidR="00064364" w:rsidRDefault="00064364" w:rsidP="00064364">
      <w:pPr>
        <w:pStyle w:val="Paragrafoelenco"/>
        <w:numPr>
          <w:ilvl w:val="0"/>
          <w:numId w:val="1"/>
        </w:numPr>
        <w:spacing w:line="240" w:lineRule="exact"/>
        <w:ind w:left="284" w:hanging="284"/>
      </w:pPr>
      <w:r>
        <w:t>Che lo studente acquisisca le categorie concettuali e la terminologia specifica in materia.</w:t>
      </w:r>
    </w:p>
    <w:p w:rsidR="00064364" w:rsidRDefault="00064364" w:rsidP="00064364">
      <w:pPr>
        <w:pStyle w:val="Paragrafoelenco"/>
        <w:numPr>
          <w:ilvl w:val="0"/>
          <w:numId w:val="1"/>
        </w:numPr>
        <w:spacing w:line="240" w:lineRule="exact"/>
        <w:ind w:left="284" w:hanging="284"/>
      </w:pPr>
      <w:r>
        <w:t>Che lo studente approfondisca i differenti approcci e paradigmi interpretativi, dagli studi classici alle più recenti teorie e ricerche empiriche, utili allo studio della società e le sue trasformazioni.</w:t>
      </w:r>
    </w:p>
    <w:p w:rsidR="00064364" w:rsidRDefault="00064364" w:rsidP="00064364">
      <w:pPr>
        <w:pStyle w:val="Paragrafoelenco"/>
        <w:numPr>
          <w:ilvl w:val="0"/>
          <w:numId w:val="1"/>
        </w:numPr>
        <w:spacing w:line="240" w:lineRule="exact"/>
        <w:ind w:left="284" w:hanging="284"/>
      </w:pPr>
      <w:r>
        <w:t>Che lo studente legga e interpreti le più significative trasformazioni sociali del nostro tempo, identificandone i principali protagonisti.</w:t>
      </w:r>
    </w:p>
    <w:p w:rsidR="00064364" w:rsidRDefault="00064364" w:rsidP="00064364">
      <w:pPr>
        <w:pStyle w:val="Paragrafoelenco"/>
        <w:numPr>
          <w:ilvl w:val="0"/>
          <w:numId w:val="1"/>
        </w:numPr>
        <w:spacing w:line="240" w:lineRule="exact"/>
        <w:ind w:left="284" w:hanging="284"/>
      </w:pPr>
      <w:r>
        <w:t>Che lo studente faccia conoscenza diretta sui territori urbani dei nuovi fenomeni collettivi, delle nuove pratiche collaborative e dei soggetti coinvolti all’origine dei processi di rigenerazione urbana e sociale.</w:t>
      </w:r>
    </w:p>
    <w:p w:rsidR="00064364" w:rsidRDefault="00064364" w:rsidP="00064364">
      <w:pPr>
        <w:spacing w:line="240" w:lineRule="exact"/>
      </w:pPr>
      <w:r w:rsidRPr="00CD4E8B">
        <w:t>Il corso si propone di fornire allo studente gli strumenti concettuali indispensabili per comprendere e analizzare i fenomeni sociali propri della società contemporanea caratterizzati da un debole livello di organizzazione e istituzionalizzazione, che sembrano tuttavia, in alcuni casi, vere e proprie forme emer</w:t>
      </w:r>
      <w:r>
        <w:t>genti di ricomposizione sociale,</w:t>
      </w:r>
      <w:r w:rsidRPr="00CD4E8B">
        <w:t xml:space="preserve"> che eleggono come valori e pratiche la collaborazione, il dono, la condivisione e la sostenibilità e che interpellano </w:t>
      </w:r>
      <w:r w:rsidRPr="00CD4E8B">
        <w:rPr>
          <w:i/>
        </w:rPr>
        <w:t>in primis</w:t>
      </w:r>
      <w:r w:rsidRPr="00CD4E8B">
        <w:t xml:space="preserve"> le giovani generazioni.</w:t>
      </w:r>
      <w:r>
        <w:t xml:space="preserve"> Obiettivo del corso è inoltre far conoscere e mettere in contatto diretto gli studenti con nuove modalità e possibilità di </w:t>
      </w:r>
      <w:proofErr w:type="spellStart"/>
      <w:r>
        <w:t>ri</w:t>
      </w:r>
      <w:proofErr w:type="spellEnd"/>
      <w:r>
        <w:t>-attivazione della socialità (di prossimità e non solo) che si generano nelle città,</w:t>
      </w:r>
      <w:r w:rsidRPr="00EF1FD0">
        <w:t xml:space="preserve"> a partire da nuovi movimenti (online e/o offline) e nuove pratiche collaborative</w:t>
      </w:r>
      <w:r>
        <w:t xml:space="preserve"> (online e/o offline).</w:t>
      </w:r>
    </w:p>
    <w:p w:rsidR="00064364" w:rsidRDefault="00064364" w:rsidP="00064364">
      <w:pPr>
        <w:spacing w:before="120" w:line="240" w:lineRule="exact"/>
      </w:pPr>
      <w:r>
        <w:t>Risultati di apprendimento attesi</w:t>
      </w:r>
    </w:p>
    <w:p w:rsidR="00064364" w:rsidRPr="00124298" w:rsidRDefault="00064364" w:rsidP="00064364">
      <w:pPr>
        <w:spacing w:line="240" w:lineRule="exact"/>
        <w:rPr>
          <w:i/>
        </w:rPr>
      </w:pPr>
      <w:r>
        <w:rPr>
          <w:i/>
        </w:rPr>
        <w:t>C</w:t>
      </w:r>
      <w:r w:rsidRPr="00124298">
        <w:rPr>
          <w:i/>
        </w:rPr>
        <w:t>onoscenza e comprensione</w:t>
      </w:r>
    </w:p>
    <w:p w:rsidR="00064364" w:rsidRDefault="00064364" w:rsidP="00064364">
      <w:pPr>
        <w:spacing w:line="240" w:lineRule="exact"/>
      </w:pPr>
      <w:r>
        <w:t>Al termine del corso lo studente sarà in grado di:</w:t>
      </w:r>
    </w:p>
    <w:p w:rsidR="00064364" w:rsidRDefault="00064364" w:rsidP="00064364">
      <w:pPr>
        <w:pStyle w:val="Paragrafoelenco"/>
        <w:numPr>
          <w:ilvl w:val="0"/>
          <w:numId w:val="2"/>
        </w:numPr>
        <w:spacing w:line="240" w:lineRule="exact"/>
        <w:ind w:left="284" w:hanging="284"/>
      </w:pPr>
      <w:r>
        <w:t>Utilizzare le fondamentali categorie concettuali per la comprensione e l’analisi della società e le sue trasformazioni, a partire dai suoi protagonisti.</w:t>
      </w:r>
    </w:p>
    <w:p w:rsidR="00064364" w:rsidRDefault="00064364" w:rsidP="00064364">
      <w:pPr>
        <w:pStyle w:val="Paragrafoelenco"/>
        <w:numPr>
          <w:ilvl w:val="0"/>
          <w:numId w:val="2"/>
        </w:numPr>
        <w:spacing w:line="240" w:lineRule="exact"/>
        <w:ind w:left="284" w:hanging="284"/>
      </w:pPr>
      <w:r>
        <w:t>Riconoscere, sia sul piano teorico sia sul piano metodologico, le fondamentali differenze teoriche, di linguaggio e di approccio tra i differenti paradigmi di studio utilizzati per leggere la società e i fenomeni sociali complessi.</w:t>
      </w:r>
    </w:p>
    <w:p w:rsidR="00064364" w:rsidRDefault="00064364" w:rsidP="00064364">
      <w:pPr>
        <w:pStyle w:val="Paragrafoelenco"/>
        <w:numPr>
          <w:ilvl w:val="0"/>
          <w:numId w:val="2"/>
        </w:numPr>
        <w:spacing w:line="240" w:lineRule="exact"/>
        <w:ind w:left="284" w:hanging="284"/>
      </w:pPr>
      <w:r>
        <w:t>Scegliere – all’interno della propria cassetta degli attrezzi – le categorie interpretative più adeguate allo studio dei fenomeni sociali innovativi contemporanei.</w:t>
      </w:r>
    </w:p>
    <w:p w:rsidR="00064364" w:rsidRPr="00124298" w:rsidRDefault="00064364" w:rsidP="00064364">
      <w:pPr>
        <w:spacing w:line="240" w:lineRule="exact"/>
        <w:rPr>
          <w:i/>
        </w:rPr>
      </w:pPr>
      <w:r>
        <w:rPr>
          <w:i/>
        </w:rPr>
        <w:t>C</w:t>
      </w:r>
      <w:r w:rsidRPr="00124298">
        <w:rPr>
          <w:i/>
        </w:rPr>
        <w:t>apacità di applicare conoscenza e comprensione</w:t>
      </w:r>
    </w:p>
    <w:p w:rsidR="00064364" w:rsidRDefault="00064364" w:rsidP="00064364">
      <w:pPr>
        <w:spacing w:line="240" w:lineRule="exact"/>
      </w:pPr>
      <w:r>
        <w:lastRenderedPageBreak/>
        <w:t>Al termine del corso lo studente sarà in grado di:</w:t>
      </w:r>
    </w:p>
    <w:p w:rsidR="00064364" w:rsidRDefault="00064364" w:rsidP="00064364">
      <w:pPr>
        <w:pStyle w:val="Paragrafoelenco"/>
        <w:numPr>
          <w:ilvl w:val="0"/>
          <w:numId w:val="3"/>
        </w:numPr>
        <w:spacing w:line="240" w:lineRule="exact"/>
        <w:ind w:left="284" w:hanging="284"/>
      </w:pPr>
      <w:r>
        <w:t>Descrivere la società contemporanea e le sue principali trasformazioni, con le categorie interpretative sociologiche.</w:t>
      </w:r>
    </w:p>
    <w:p w:rsidR="00064364" w:rsidRDefault="00064364" w:rsidP="00064364">
      <w:pPr>
        <w:pStyle w:val="Paragrafoelenco"/>
        <w:numPr>
          <w:ilvl w:val="0"/>
          <w:numId w:val="3"/>
        </w:numPr>
        <w:spacing w:line="240" w:lineRule="exact"/>
        <w:ind w:left="284" w:hanging="284"/>
      </w:pPr>
      <w:r>
        <w:t>Riconoscere e descrivere le caratteristiche dei principali fenomeni collettivi del nostro tempo, secondo una prospettiva trans-disciplinare.</w:t>
      </w:r>
    </w:p>
    <w:p w:rsidR="00064364" w:rsidRDefault="00064364" w:rsidP="00064364">
      <w:pPr>
        <w:pStyle w:val="Paragrafoelenco"/>
        <w:numPr>
          <w:ilvl w:val="0"/>
          <w:numId w:val="3"/>
        </w:numPr>
        <w:spacing w:line="240" w:lineRule="exact"/>
        <w:ind w:left="284" w:hanging="284"/>
      </w:pPr>
      <w:r>
        <w:t>Riconoscere sui territori le diverse forme di ricomposizione sociale innovative.</w:t>
      </w:r>
    </w:p>
    <w:p w:rsidR="001651F9" w:rsidRDefault="001651F9" w:rsidP="001651F9">
      <w:pPr>
        <w:spacing w:before="240" w:after="120" w:line="240" w:lineRule="exact"/>
        <w:rPr>
          <w:b/>
          <w:sz w:val="18"/>
        </w:rPr>
      </w:pPr>
      <w:r>
        <w:rPr>
          <w:b/>
          <w:i/>
          <w:sz w:val="18"/>
        </w:rPr>
        <w:t>PROGRAMMA DEL CORSO</w:t>
      </w:r>
    </w:p>
    <w:p w:rsidR="00064364" w:rsidRPr="00CD4E8B" w:rsidRDefault="00064364" w:rsidP="00064364">
      <w:pPr>
        <w:spacing w:line="240" w:lineRule="exact"/>
      </w:pPr>
      <w:bookmarkStart w:id="0" w:name="_Toc486603515"/>
      <w:r w:rsidRPr="00CD4E8B">
        <w:t>Il corso si articoler</w:t>
      </w:r>
      <w:r>
        <w:t>à in due sezioni:</w:t>
      </w:r>
    </w:p>
    <w:p w:rsidR="00064364" w:rsidRPr="00065BFE" w:rsidRDefault="00064364" w:rsidP="00064364">
      <w:pPr>
        <w:pStyle w:val="Paragrafoelenco"/>
        <w:numPr>
          <w:ilvl w:val="0"/>
          <w:numId w:val="4"/>
        </w:numPr>
        <w:tabs>
          <w:tab w:val="left" w:pos="284"/>
        </w:tabs>
        <w:spacing w:line="240" w:lineRule="exact"/>
        <w:ind w:left="284" w:hanging="284"/>
        <w:rPr>
          <w:rFonts w:eastAsia="Times New Roman"/>
          <w:szCs w:val="24"/>
          <w:lang w:eastAsia="it-IT"/>
        </w:rPr>
      </w:pPr>
      <w:r w:rsidRPr="00BE26F5">
        <w:rPr>
          <w:rFonts w:eastAsia="Times New Roman"/>
          <w:szCs w:val="24"/>
          <w:lang w:eastAsia="it-IT"/>
        </w:rPr>
        <w:t xml:space="preserve">Prima parte (I semestre): </w:t>
      </w:r>
      <w:r>
        <w:rPr>
          <w:rFonts w:eastAsia="Times New Roman"/>
          <w:i/>
          <w:szCs w:val="24"/>
          <w:lang w:eastAsia="it-IT"/>
        </w:rPr>
        <w:t>Leggere la società che cambia attraverso i suoi protagonisti: strumenti ermeneutici e chiavi di lettura</w:t>
      </w:r>
    </w:p>
    <w:p w:rsidR="00064364" w:rsidRDefault="00064364" w:rsidP="00064364">
      <w:pPr>
        <w:pStyle w:val="Paragrafoelenco"/>
        <w:spacing w:before="120" w:line="240" w:lineRule="exact"/>
        <w:ind w:left="0"/>
        <w:rPr>
          <w:rFonts w:eastAsia="Times New Roman"/>
          <w:szCs w:val="24"/>
          <w:lang w:eastAsia="it-IT"/>
        </w:rPr>
      </w:pPr>
      <w:r>
        <w:rPr>
          <w:rFonts w:eastAsia="Times New Roman"/>
          <w:szCs w:val="24"/>
          <w:lang w:eastAsia="it-IT"/>
        </w:rPr>
        <w:t>L</w:t>
      </w:r>
      <w:r w:rsidRPr="00BE26F5">
        <w:rPr>
          <w:rFonts w:eastAsia="Times New Roman"/>
          <w:szCs w:val="24"/>
          <w:lang w:eastAsia="it-IT"/>
        </w:rPr>
        <w:t>a prima parte del corso, di taglio eminentemente teorico, si focalizza sulla società contemporanea</w:t>
      </w:r>
      <w:r>
        <w:rPr>
          <w:rFonts w:eastAsia="Times New Roman"/>
          <w:szCs w:val="24"/>
          <w:lang w:eastAsia="it-IT"/>
        </w:rPr>
        <w:t>, sulle sue caratteristiche,</w:t>
      </w:r>
      <w:r w:rsidRPr="00BE26F5">
        <w:rPr>
          <w:rFonts w:eastAsia="Times New Roman"/>
          <w:szCs w:val="24"/>
          <w:lang w:eastAsia="it-IT"/>
        </w:rPr>
        <w:t xml:space="preserve"> e sulle sue principali trasformazioni sia a livello sistemico sia a livello soggettivo, con particolare riferimento alla Rete e alle possibilità che essa ha dischiuso. </w:t>
      </w:r>
    </w:p>
    <w:p w:rsidR="00064364" w:rsidRDefault="00064364" w:rsidP="00064364">
      <w:pPr>
        <w:pStyle w:val="Paragrafoelenco"/>
        <w:spacing w:before="120" w:line="240" w:lineRule="exact"/>
        <w:ind w:left="0"/>
        <w:rPr>
          <w:rFonts w:eastAsia="Times New Roman"/>
          <w:szCs w:val="24"/>
          <w:lang w:eastAsia="it-IT"/>
        </w:rPr>
      </w:pPr>
      <w:r>
        <w:rPr>
          <w:rFonts w:eastAsia="Times New Roman"/>
          <w:szCs w:val="24"/>
          <w:lang w:eastAsia="it-IT"/>
        </w:rPr>
        <w:t xml:space="preserve">Per leggere le trasformazioni del nostro tempo saranno fornite innanzitutto alcune chiavi interpretative, utili per orientarsi nell’interpretazione della complessità sociale. Nello specifico: </w:t>
      </w:r>
    </w:p>
    <w:p w:rsidR="00064364" w:rsidRDefault="00064364" w:rsidP="00064364">
      <w:pPr>
        <w:pStyle w:val="Paragrafoelenco"/>
        <w:spacing w:before="120" w:line="240" w:lineRule="exact"/>
        <w:ind w:left="0"/>
        <w:rPr>
          <w:rFonts w:eastAsia="Times New Roman"/>
          <w:szCs w:val="24"/>
          <w:lang w:eastAsia="it-IT"/>
        </w:rPr>
      </w:pPr>
      <w:r>
        <w:rPr>
          <w:rFonts w:eastAsia="Times New Roman"/>
          <w:szCs w:val="24"/>
          <w:lang w:eastAsia="it-IT"/>
        </w:rPr>
        <w:t xml:space="preserve"> - sarà fornita</w:t>
      </w:r>
      <w:r w:rsidRPr="00BE26F5">
        <w:rPr>
          <w:rFonts w:eastAsia="Times New Roman"/>
          <w:szCs w:val="24"/>
          <w:lang w:eastAsia="it-IT"/>
        </w:rPr>
        <w:t xml:space="preserve"> agli studenti la possibilità di mettere a punto</w:t>
      </w:r>
      <w:r>
        <w:rPr>
          <w:rFonts w:eastAsia="Times New Roman"/>
          <w:szCs w:val="24"/>
          <w:lang w:eastAsia="it-IT"/>
        </w:rPr>
        <w:t>, mediante lo studio e la discussione critica di alcuni</w:t>
      </w:r>
      <w:r w:rsidRPr="00BE26F5">
        <w:rPr>
          <w:rFonts w:eastAsia="Times New Roman"/>
          <w:szCs w:val="24"/>
          <w:lang w:eastAsia="it-IT"/>
        </w:rPr>
        <w:t xml:space="preserve"> </w:t>
      </w:r>
      <w:r>
        <w:rPr>
          <w:rFonts w:eastAsia="Times New Roman"/>
          <w:szCs w:val="24"/>
          <w:lang w:eastAsia="it-IT"/>
        </w:rPr>
        <w:t xml:space="preserve">tra i più autorevoli </w:t>
      </w:r>
      <w:r w:rsidRPr="00BE26F5">
        <w:rPr>
          <w:rFonts w:eastAsia="Times New Roman"/>
          <w:szCs w:val="24"/>
          <w:lang w:eastAsia="it-IT"/>
        </w:rPr>
        <w:t>autori classici e contemporanei delle scienze social</w:t>
      </w:r>
      <w:r>
        <w:rPr>
          <w:rFonts w:eastAsia="Times New Roman"/>
          <w:szCs w:val="24"/>
          <w:lang w:eastAsia="it-IT"/>
        </w:rPr>
        <w:t xml:space="preserve">i, un lessico </w:t>
      </w:r>
      <w:r w:rsidRPr="00BE26F5">
        <w:rPr>
          <w:rFonts w:eastAsia="Times New Roman"/>
          <w:szCs w:val="24"/>
          <w:lang w:eastAsia="it-IT"/>
        </w:rPr>
        <w:t>teorico-concettuale di base</w:t>
      </w:r>
      <w:r>
        <w:rPr>
          <w:rFonts w:eastAsia="Times New Roman"/>
          <w:szCs w:val="24"/>
          <w:lang w:eastAsia="it-IT"/>
        </w:rPr>
        <w:t>, che andrà a costituire una sorta di “cassetta degli attrezzi” comune, l’apparato epistemologico-metodologico e interpretativo condiviso dalla classe con cui leggere i fenomeni sociali affrontati. Tra le parole chiave, si approfondiranno</w:t>
      </w:r>
      <w:r w:rsidRPr="00BE26F5">
        <w:rPr>
          <w:rFonts w:eastAsia="Times New Roman"/>
          <w:szCs w:val="24"/>
          <w:lang w:eastAsia="it-IT"/>
        </w:rPr>
        <w:t>: comunità/società, folla/massa, rito/rituali, movime</w:t>
      </w:r>
      <w:r>
        <w:rPr>
          <w:rFonts w:eastAsia="Times New Roman"/>
          <w:szCs w:val="24"/>
          <w:lang w:eastAsia="it-IT"/>
        </w:rPr>
        <w:t>nto sociale, c</w:t>
      </w:r>
      <w:r w:rsidRPr="00BE26F5">
        <w:rPr>
          <w:rFonts w:eastAsia="Times New Roman"/>
          <w:szCs w:val="24"/>
          <w:lang w:eastAsia="it-IT"/>
        </w:rPr>
        <w:t xml:space="preserve">ollaborazione, solidarietà, dono. </w:t>
      </w:r>
    </w:p>
    <w:p w:rsidR="00064364" w:rsidRPr="00BE26F5" w:rsidRDefault="00064364" w:rsidP="00064364">
      <w:pPr>
        <w:pStyle w:val="Paragrafoelenco"/>
        <w:spacing w:before="120" w:line="240" w:lineRule="exact"/>
        <w:ind w:left="0"/>
        <w:rPr>
          <w:rFonts w:eastAsia="Times New Roman"/>
          <w:szCs w:val="24"/>
          <w:lang w:eastAsia="it-IT"/>
        </w:rPr>
      </w:pPr>
      <w:r>
        <w:rPr>
          <w:rFonts w:eastAsia="Times New Roman"/>
          <w:szCs w:val="24"/>
          <w:lang w:eastAsia="it-IT"/>
        </w:rPr>
        <w:t>- sarà approfondita e applicata la chiave interpretativa “generazionale”. I</w:t>
      </w:r>
      <w:r w:rsidRPr="00BE26F5">
        <w:rPr>
          <w:rFonts w:eastAsia="Times New Roman"/>
          <w:szCs w:val="24"/>
          <w:lang w:eastAsia="it-IT"/>
        </w:rPr>
        <w:t>l concetto sociologico di generazione, a partire d</w:t>
      </w:r>
      <w:r>
        <w:rPr>
          <w:rFonts w:eastAsia="Times New Roman"/>
          <w:szCs w:val="24"/>
          <w:lang w:eastAsia="it-IT"/>
        </w:rPr>
        <w:t xml:space="preserve">alla definizione di Mannheim, sarà impiegato per leggere il cambiamento sociale, per </w:t>
      </w:r>
      <w:r w:rsidRPr="00BE26F5">
        <w:rPr>
          <w:rFonts w:eastAsia="Times New Roman"/>
          <w:szCs w:val="24"/>
          <w:lang w:eastAsia="it-IT"/>
        </w:rPr>
        <w:t xml:space="preserve">ricostruire storicamente i legami tra i fenomeni collettivi e le differenti generazioni, in particolare i Baby </w:t>
      </w:r>
      <w:proofErr w:type="spellStart"/>
      <w:r w:rsidRPr="00BE26F5">
        <w:rPr>
          <w:rFonts w:eastAsia="Times New Roman"/>
          <w:szCs w:val="24"/>
          <w:lang w:eastAsia="it-IT"/>
        </w:rPr>
        <w:t>Boomers</w:t>
      </w:r>
      <w:proofErr w:type="spellEnd"/>
      <w:r w:rsidRPr="00BE26F5">
        <w:rPr>
          <w:rFonts w:eastAsia="Times New Roman"/>
          <w:szCs w:val="24"/>
          <w:lang w:eastAsia="it-IT"/>
        </w:rPr>
        <w:t xml:space="preserve">, la Generazione X, i </w:t>
      </w:r>
      <w:proofErr w:type="spellStart"/>
      <w:r w:rsidRPr="00BE26F5">
        <w:rPr>
          <w:rFonts w:eastAsia="Times New Roman"/>
          <w:szCs w:val="24"/>
          <w:lang w:eastAsia="it-IT"/>
        </w:rPr>
        <w:t>Millennials</w:t>
      </w:r>
      <w:proofErr w:type="spellEnd"/>
      <w:r w:rsidRPr="00BE26F5">
        <w:rPr>
          <w:rFonts w:eastAsia="Times New Roman"/>
          <w:szCs w:val="24"/>
          <w:lang w:eastAsia="it-IT"/>
        </w:rPr>
        <w:t xml:space="preserve"> e la Generazione Z. Particolare attenzione sarà riservata all’analisi della condizione dei giovani oggi (i </w:t>
      </w:r>
      <w:proofErr w:type="spellStart"/>
      <w:r w:rsidRPr="00BE26F5">
        <w:rPr>
          <w:rFonts w:eastAsia="Times New Roman"/>
          <w:szCs w:val="24"/>
          <w:lang w:eastAsia="it-IT"/>
        </w:rPr>
        <w:t>Millennials</w:t>
      </w:r>
      <w:proofErr w:type="spellEnd"/>
      <w:r>
        <w:rPr>
          <w:rFonts w:eastAsia="Times New Roman"/>
          <w:szCs w:val="24"/>
          <w:lang w:eastAsia="it-IT"/>
        </w:rPr>
        <w:t xml:space="preserve"> e la Generazione Z</w:t>
      </w:r>
      <w:r w:rsidRPr="00BE26F5">
        <w:rPr>
          <w:rFonts w:eastAsia="Times New Roman"/>
          <w:szCs w:val="24"/>
          <w:lang w:eastAsia="it-IT"/>
        </w:rPr>
        <w:t xml:space="preserve">), in quanto proprio tra le </w:t>
      </w:r>
      <w:r>
        <w:rPr>
          <w:rFonts w:eastAsia="Times New Roman"/>
          <w:szCs w:val="24"/>
          <w:lang w:eastAsia="it-IT"/>
        </w:rPr>
        <w:t xml:space="preserve">più </w:t>
      </w:r>
      <w:r w:rsidRPr="00BE26F5">
        <w:rPr>
          <w:rFonts w:eastAsia="Times New Roman"/>
          <w:szCs w:val="24"/>
          <w:lang w:eastAsia="it-IT"/>
        </w:rPr>
        <w:t>giovani generazioni assist</w:t>
      </w:r>
      <w:r>
        <w:rPr>
          <w:rFonts w:eastAsia="Times New Roman"/>
          <w:szCs w:val="24"/>
          <w:lang w:eastAsia="it-IT"/>
        </w:rPr>
        <w:t>iamo alla diffusione di nuovi movimenti collettivi</w:t>
      </w:r>
      <w:r w:rsidRPr="00BE26F5">
        <w:rPr>
          <w:rFonts w:eastAsia="Times New Roman"/>
          <w:szCs w:val="24"/>
          <w:lang w:eastAsia="it-IT"/>
        </w:rPr>
        <w:t>, nuove pratiche</w:t>
      </w:r>
      <w:r>
        <w:rPr>
          <w:rFonts w:eastAsia="Times New Roman"/>
          <w:szCs w:val="24"/>
          <w:lang w:eastAsia="it-IT"/>
        </w:rPr>
        <w:t xml:space="preserve"> collaborative</w:t>
      </w:r>
      <w:r w:rsidRPr="00BE26F5">
        <w:rPr>
          <w:rFonts w:eastAsia="Times New Roman"/>
          <w:szCs w:val="24"/>
          <w:lang w:eastAsia="it-IT"/>
        </w:rPr>
        <w:t>, che fanno leva sulla condivisione</w:t>
      </w:r>
      <w:r>
        <w:rPr>
          <w:rFonts w:eastAsia="Times New Roman"/>
          <w:szCs w:val="24"/>
          <w:lang w:eastAsia="it-IT"/>
        </w:rPr>
        <w:t>, la solidarietà e la sostenibilità. Nuovi modi di pensarsi insieme, di vivere la società, di fare innovazione sociale.</w:t>
      </w:r>
      <w:r w:rsidRPr="00BE26F5">
        <w:rPr>
          <w:rFonts w:eastAsia="Times New Roman"/>
          <w:szCs w:val="24"/>
          <w:lang w:eastAsia="it-IT"/>
        </w:rPr>
        <w:t xml:space="preserve"> </w:t>
      </w:r>
    </w:p>
    <w:p w:rsidR="00064364" w:rsidRPr="00124298" w:rsidRDefault="00064364" w:rsidP="00064364">
      <w:pPr>
        <w:spacing w:before="120" w:line="240" w:lineRule="exact"/>
        <w:rPr>
          <w:i/>
        </w:rPr>
      </w:pPr>
      <w:r>
        <w:t>2.</w:t>
      </w:r>
      <w:r>
        <w:tab/>
      </w:r>
      <w:r w:rsidRPr="00124298">
        <w:t xml:space="preserve">Seconda parte (II semestre): </w:t>
      </w:r>
      <w:r w:rsidRPr="00124298">
        <w:rPr>
          <w:i/>
        </w:rPr>
        <w:t>Nuove forme e nuovi attivatori di socialità: esperienze sul “campo”</w:t>
      </w:r>
    </w:p>
    <w:p w:rsidR="00064364" w:rsidRPr="0097762F" w:rsidRDefault="00064364" w:rsidP="00064364">
      <w:pPr>
        <w:pStyle w:val="Paragrafoelenco"/>
        <w:tabs>
          <w:tab w:val="left" w:pos="284"/>
        </w:tabs>
        <w:spacing w:line="240" w:lineRule="exact"/>
        <w:ind w:left="0"/>
        <w:rPr>
          <w:rFonts w:eastAsia="Times New Roman"/>
          <w:szCs w:val="24"/>
          <w:lang w:eastAsia="it-IT"/>
        </w:rPr>
      </w:pPr>
      <w:r w:rsidRPr="005A0FB2">
        <w:rPr>
          <w:rFonts w:eastAsia="Times New Roman"/>
          <w:szCs w:val="24"/>
          <w:lang w:eastAsia="it-IT"/>
        </w:rPr>
        <w:t>La seconda parte del corso</w:t>
      </w:r>
      <w:r>
        <w:rPr>
          <w:rFonts w:eastAsia="Times New Roman"/>
          <w:szCs w:val="24"/>
          <w:lang w:eastAsia="it-IT"/>
        </w:rPr>
        <w:t xml:space="preserve">, di taglio eminentemente seminariale/pratico-laboratoriale, applica </w:t>
      </w:r>
      <w:r w:rsidRPr="0097762F">
        <w:rPr>
          <w:rFonts w:eastAsia="Times New Roman"/>
          <w:szCs w:val="24"/>
          <w:lang w:eastAsia="it-IT"/>
        </w:rPr>
        <w:t>le cate</w:t>
      </w:r>
      <w:r>
        <w:rPr>
          <w:rFonts w:eastAsia="Times New Roman"/>
          <w:szCs w:val="24"/>
          <w:lang w:eastAsia="it-IT"/>
        </w:rPr>
        <w:t>gorie concettuali introdotte nella prima parte del corso</w:t>
      </w:r>
      <w:r w:rsidRPr="0097762F">
        <w:rPr>
          <w:rFonts w:eastAsia="Times New Roman"/>
          <w:szCs w:val="24"/>
          <w:lang w:eastAsia="it-IT"/>
        </w:rPr>
        <w:t xml:space="preserve"> </w:t>
      </w:r>
      <w:r w:rsidRPr="0097762F">
        <w:rPr>
          <w:rFonts w:eastAsia="Times New Roman"/>
          <w:szCs w:val="24"/>
          <w:lang w:eastAsia="it-IT"/>
        </w:rPr>
        <w:lastRenderedPageBreak/>
        <w:t>all’analisi e all’indagine sul campo di alcuni fenomeni collettivi emergenti nella società contemporanea, che presenta</w:t>
      </w:r>
      <w:r>
        <w:rPr>
          <w:rFonts w:eastAsia="Times New Roman"/>
          <w:szCs w:val="24"/>
          <w:lang w:eastAsia="it-IT"/>
        </w:rPr>
        <w:t>no una natura online e/o offline</w:t>
      </w:r>
      <w:r w:rsidRPr="0097762F">
        <w:rPr>
          <w:rFonts w:eastAsia="Times New Roman"/>
          <w:szCs w:val="24"/>
          <w:lang w:eastAsia="it-IT"/>
        </w:rPr>
        <w:t xml:space="preserve">. </w:t>
      </w:r>
      <w:r>
        <w:rPr>
          <w:rFonts w:eastAsia="Times New Roman"/>
          <w:szCs w:val="24"/>
          <w:lang w:eastAsia="it-IT"/>
        </w:rPr>
        <w:t>Si tratta di fenomeni sociali nuovi e innovativi, che si presentano spesso nella forma dei movimenti collettivi bottom-up, che utilizzano la rete, le piattaforme digitali, e fanno parte di reti internazionali, con caratteri di globalità e specificità territoriali caratterizzanti. Movimenti collettivi, ispirati alla collaborazione e alla sostenibilità (sociale, economica e ambientale), che danno origine ad azioni collettive, capaci di generare il cambiamento sociale sui territori. Le città, in particolare quelle metropolitane come Milano, sono laboratori interessanti per leggere questi movimenti, le cui ricadute sono tangibili, osservabili nei quartieri, nelle strade, nei condomini. L</w:t>
      </w:r>
      <w:r w:rsidRPr="0097762F">
        <w:rPr>
          <w:rFonts w:eastAsia="Times New Roman"/>
          <w:szCs w:val="24"/>
          <w:lang w:eastAsia="it-IT"/>
        </w:rPr>
        <w:t>’abitare collaborativo</w:t>
      </w:r>
      <w:r>
        <w:rPr>
          <w:rFonts w:eastAsia="Times New Roman"/>
          <w:szCs w:val="24"/>
          <w:lang w:eastAsia="it-IT"/>
        </w:rPr>
        <w:t>/la vita comune/le comunità di famiglie</w:t>
      </w:r>
      <w:r w:rsidRPr="0097762F">
        <w:rPr>
          <w:rFonts w:eastAsia="Times New Roman"/>
          <w:szCs w:val="24"/>
          <w:lang w:eastAsia="it-IT"/>
        </w:rPr>
        <w:t xml:space="preserve">, gli spazi </w:t>
      </w:r>
      <w:proofErr w:type="spellStart"/>
      <w:r w:rsidRPr="0097762F">
        <w:rPr>
          <w:rFonts w:eastAsia="Times New Roman"/>
          <w:szCs w:val="24"/>
          <w:lang w:eastAsia="it-IT"/>
        </w:rPr>
        <w:t>coworking</w:t>
      </w:r>
      <w:proofErr w:type="spellEnd"/>
      <w:r w:rsidRPr="0097762F">
        <w:rPr>
          <w:rFonts w:eastAsia="Times New Roman"/>
          <w:szCs w:val="24"/>
          <w:lang w:eastAsia="it-IT"/>
        </w:rPr>
        <w:t>, le biblioteche di condominio, gli orti urbani</w:t>
      </w:r>
      <w:r>
        <w:rPr>
          <w:rFonts w:eastAsia="Times New Roman"/>
          <w:szCs w:val="24"/>
          <w:lang w:eastAsia="it-IT"/>
        </w:rPr>
        <w:t>/i giardini condivisi</w:t>
      </w:r>
      <w:r w:rsidRPr="0097762F">
        <w:rPr>
          <w:rFonts w:eastAsia="Times New Roman"/>
          <w:szCs w:val="24"/>
          <w:lang w:eastAsia="it-IT"/>
        </w:rPr>
        <w:t xml:space="preserve">, le </w:t>
      </w:r>
      <w:r>
        <w:rPr>
          <w:rFonts w:eastAsia="Times New Roman"/>
          <w:szCs w:val="24"/>
          <w:lang w:eastAsia="it-IT"/>
        </w:rPr>
        <w:t xml:space="preserve">social </w:t>
      </w:r>
      <w:proofErr w:type="spellStart"/>
      <w:r>
        <w:rPr>
          <w:rFonts w:eastAsia="Times New Roman"/>
          <w:szCs w:val="24"/>
          <w:lang w:eastAsia="it-IT"/>
        </w:rPr>
        <w:t>street</w:t>
      </w:r>
      <w:proofErr w:type="spellEnd"/>
      <w:r>
        <w:rPr>
          <w:rFonts w:eastAsia="Times New Roman"/>
          <w:szCs w:val="24"/>
          <w:lang w:eastAsia="it-IT"/>
        </w:rPr>
        <w:t xml:space="preserve"> sono </w:t>
      </w:r>
      <w:r w:rsidRPr="0097762F">
        <w:rPr>
          <w:rFonts w:eastAsia="Times New Roman"/>
          <w:szCs w:val="24"/>
          <w:lang w:eastAsia="it-IT"/>
        </w:rPr>
        <w:t xml:space="preserve">esperienze </w:t>
      </w:r>
      <w:r>
        <w:rPr>
          <w:rFonts w:eastAsia="Times New Roman"/>
          <w:szCs w:val="24"/>
          <w:lang w:eastAsia="it-IT"/>
        </w:rPr>
        <w:t xml:space="preserve">di rigenerazione urbana e sociale, in cui i giovani sono tra i </w:t>
      </w:r>
      <w:r w:rsidRPr="0097762F">
        <w:rPr>
          <w:rFonts w:eastAsia="Times New Roman"/>
          <w:szCs w:val="24"/>
          <w:lang w:eastAsia="it-IT"/>
        </w:rPr>
        <w:t xml:space="preserve">principali </w:t>
      </w:r>
      <w:r>
        <w:rPr>
          <w:rFonts w:eastAsia="Times New Roman"/>
          <w:szCs w:val="24"/>
          <w:lang w:eastAsia="it-IT"/>
        </w:rPr>
        <w:t>attori sociali coinvolti</w:t>
      </w:r>
      <w:r w:rsidRPr="0097762F">
        <w:rPr>
          <w:rFonts w:eastAsia="Times New Roman"/>
          <w:szCs w:val="24"/>
          <w:lang w:eastAsia="it-IT"/>
        </w:rPr>
        <w:t>.</w:t>
      </w:r>
    </w:p>
    <w:bookmarkEnd w:id="0"/>
    <w:p w:rsidR="001651F9" w:rsidRPr="00124298" w:rsidRDefault="001651F9" w:rsidP="00124298">
      <w:pPr>
        <w:spacing w:before="240" w:after="120"/>
        <w:rPr>
          <w:b/>
          <w:i/>
          <w:sz w:val="18"/>
        </w:rPr>
      </w:pPr>
      <w:r>
        <w:rPr>
          <w:b/>
          <w:i/>
          <w:sz w:val="18"/>
        </w:rPr>
        <w:t>BIBLIOGRAFIA</w:t>
      </w:r>
      <w:r w:rsidR="007424F3">
        <w:rPr>
          <w:rStyle w:val="Rimandonotaapidipagina"/>
          <w:b/>
          <w:i/>
          <w:sz w:val="18"/>
        </w:rPr>
        <w:footnoteReference w:id="1"/>
      </w:r>
    </w:p>
    <w:p w:rsidR="001651F9" w:rsidRPr="00124298" w:rsidRDefault="001651F9" w:rsidP="00124298">
      <w:pPr>
        <w:pStyle w:val="Testo1"/>
        <w:rPr>
          <w:i/>
        </w:rPr>
      </w:pPr>
      <w:r w:rsidRPr="00124298">
        <w:rPr>
          <w:i/>
        </w:rPr>
        <w:t>Sono previste due opzioni di programma (A e B) tra cui lo studente può liberamente scegliere. Il primo (A) per chi può frequentare; il secondo (B) per chi è impossibilitato a frequentare.</w:t>
      </w:r>
    </w:p>
    <w:p w:rsidR="001651F9" w:rsidRPr="00E05942" w:rsidRDefault="001651F9" w:rsidP="001651F9">
      <w:pPr>
        <w:pStyle w:val="Testo1"/>
      </w:pPr>
      <w:r w:rsidRPr="00124298">
        <w:t>Gli studenti che seguiranno il programma A</w:t>
      </w:r>
      <w:r w:rsidRPr="00E05942">
        <w:t xml:space="preserve"> dovranno preparare i seguenti materiali:</w:t>
      </w:r>
    </w:p>
    <w:p w:rsidR="001651F9" w:rsidRDefault="001651F9" w:rsidP="00124298">
      <w:pPr>
        <w:pStyle w:val="Testo1"/>
        <w:spacing w:before="0"/>
      </w:pPr>
      <w:r>
        <w:t>Appunti</w:t>
      </w:r>
      <w:r w:rsidR="0031541E">
        <w:t xml:space="preserve"> e materiali</w:t>
      </w:r>
      <w:r>
        <w:t xml:space="preserve"> del corso.</w:t>
      </w:r>
    </w:p>
    <w:p w:rsidR="001651F9" w:rsidRPr="001651F9" w:rsidRDefault="001651F9" w:rsidP="00124298">
      <w:pPr>
        <w:pStyle w:val="Testo1"/>
        <w:spacing w:before="0"/>
      </w:pPr>
      <w:r>
        <w:t xml:space="preserve">I </w:t>
      </w:r>
      <w:r w:rsidRPr="00E05942">
        <w:t>materiali didattici</w:t>
      </w:r>
      <w:r>
        <w:t xml:space="preserve">, le </w:t>
      </w:r>
      <w:r w:rsidRPr="00E05942">
        <w:t xml:space="preserve">letture </w:t>
      </w:r>
      <w:r>
        <w:t>e il calendario delle attività programmate verranno comunicati dal</w:t>
      </w:r>
      <w:r w:rsidRPr="00E05942">
        <w:t xml:space="preserve"> d</w:t>
      </w:r>
      <w:r>
        <w:t>ocente</w:t>
      </w:r>
      <w:r w:rsidRPr="00E05942">
        <w:t xml:space="preserve"> durante il corso e resi disponibili agli studenti sulla piattaforma B</w:t>
      </w:r>
      <w:r>
        <w:t>l</w:t>
      </w:r>
      <w:r w:rsidRPr="00E05942">
        <w:t>ackboard, nella sezione “Materiali”.</w:t>
      </w:r>
      <w:r>
        <w:t xml:space="preserve"> </w:t>
      </w:r>
    </w:p>
    <w:p w:rsidR="001651F9" w:rsidRPr="00E05942" w:rsidRDefault="001651F9" w:rsidP="00124298">
      <w:pPr>
        <w:pStyle w:val="Testo1"/>
      </w:pPr>
      <w:r w:rsidRPr="00124298">
        <w:t>Gli studenti che seguiranno il programma B</w:t>
      </w:r>
      <w:r w:rsidRPr="00E05942">
        <w:t xml:space="preserve"> dovranno preparare i seguenti materiali:</w:t>
      </w:r>
    </w:p>
    <w:p w:rsidR="007D2AB3" w:rsidRDefault="007D2AB3" w:rsidP="00124298">
      <w:pPr>
        <w:pStyle w:val="Testo1"/>
        <w:spacing w:before="0"/>
      </w:pPr>
      <w:r>
        <w:t>Ceruti M., Il tempo della complessità, Raffaello Cortina, Milano, 2018.</w:t>
      </w:r>
      <w:r w:rsidR="007424F3">
        <w:t xml:space="preserve"> </w:t>
      </w:r>
      <w:hyperlink r:id="rId8" w:history="1">
        <w:r w:rsidR="007424F3" w:rsidRPr="007424F3">
          <w:rPr>
            <w:rStyle w:val="Collegamentoipertestuale"/>
            <w:rFonts w:ascii="Times New Roman" w:hAnsi="Times New Roman"/>
            <w:i/>
            <w:sz w:val="16"/>
            <w:szCs w:val="16"/>
          </w:rPr>
          <w:t>Acquista da VP</w:t>
        </w:r>
      </w:hyperlink>
    </w:p>
    <w:p w:rsidR="007D2AB3" w:rsidRPr="007D2AB3" w:rsidRDefault="007D2AB3" w:rsidP="00124298">
      <w:pPr>
        <w:pStyle w:val="Testo1"/>
        <w:spacing w:before="0"/>
      </w:pPr>
      <w:r w:rsidRPr="007D2AB3">
        <w:t xml:space="preserve">Morin E., Kern A.B., </w:t>
      </w:r>
      <w:r w:rsidRPr="007F5EF8">
        <w:t>Terra-Patria,</w:t>
      </w:r>
      <w:r>
        <w:t xml:space="preserve"> Raffaello Cortina, Milano, 1994.</w:t>
      </w:r>
      <w:r w:rsidR="007424F3">
        <w:t xml:space="preserve"> </w:t>
      </w:r>
      <w:hyperlink r:id="rId9" w:history="1">
        <w:r w:rsidR="007424F3" w:rsidRPr="007424F3">
          <w:rPr>
            <w:rStyle w:val="Collegamentoipertestuale"/>
            <w:rFonts w:ascii="Times New Roman" w:hAnsi="Times New Roman"/>
            <w:i/>
            <w:sz w:val="16"/>
            <w:szCs w:val="16"/>
          </w:rPr>
          <w:t>Acquista da VP</w:t>
        </w:r>
      </w:hyperlink>
    </w:p>
    <w:p w:rsidR="007D2AB3" w:rsidRDefault="007D2AB3" w:rsidP="00124298">
      <w:pPr>
        <w:pStyle w:val="Testo1"/>
        <w:spacing w:before="0"/>
      </w:pPr>
      <w:r>
        <w:t>Papa Francesco, Laudato sì. Enciclica sulla cura della casa comune, San Paolo, Milano, 2015.</w:t>
      </w:r>
      <w:r w:rsidR="007424F3">
        <w:t xml:space="preserve"> </w:t>
      </w:r>
      <w:hyperlink r:id="rId10" w:history="1">
        <w:r w:rsidR="007424F3" w:rsidRPr="007424F3">
          <w:rPr>
            <w:rStyle w:val="Collegamentoipertestuale"/>
            <w:rFonts w:ascii="Times New Roman" w:hAnsi="Times New Roman"/>
            <w:i/>
            <w:sz w:val="16"/>
            <w:szCs w:val="16"/>
          </w:rPr>
          <w:t>Acquista da VP</w:t>
        </w:r>
      </w:hyperlink>
    </w:p>
    <w:p w:rsidR="001651F9" w:rsidRPr="00A5657F" w:rsidRDefault="001651F9" w:rsidP="00124298">
      <w:pPr>
        <w:pStyle w:val="Testo1"/>
        <w:spacing w:before="0"/>
        <w:rPr>
          <w:szCs w:val="18"/>
        </w:rPr>
      </w:pPr>
      <w:r w:rsidRPr="00A5657F">
        <w:rPr>
          <w:szCs w:val="18"/>
        </w:rPr>
        <w:t>Pasqualini C.,</w:t>
      </w:r>
      <w:r w:rsidR="00124298" w:rsidRPr="00A5657F">
        <w:rPr>
          <w:szCs w:val="18"/>
        </w:rPr>
        <w:t xml:space="preserve"> </w:t>
      </w:r>
      <w:r w:rsidRPr="00A5657F">
        <w:rPr>
          <w:szCs w:val="18"/>
        </w:rPr>
        <w:t xml:space="preserve">Vicini e connessi. Rapporto sulle social street a Milano, Fondazione Giangiacomo Feltrinelli, Milano, 2018. </w:t>
      </w:r>
    </w:p>
    <w:p w:rsidR="00093FC7" w:rsidRPr="00A5657F" w:rsidRDefault="007D2AB3" w:rsidP="00124298">
      <w:pPr>
        <w:pStyle w:val="Testo1"/>
        <w:spacing w:before="0"/>
        <w:rPr>
          <w:spacing w:val="-5"/>
          <w:szCs w:val="18"/>
        </w:rPr>
      </w:pPr>
      <w:r w:rsidRPr="00A5657F">
        <w:rPr>
          <w:spacing w:val="-5"/>
          <w:szCs w:val="18"/>
        </w:rPr>
        <w:t>Tumberg G., Nessuno è troppo piccolo per fare la differenza, Mondadori, Milano, 2019.</w:t>
      </w:r>
      <w:r w:rsidR="007424F3">
        <w:rPr>
          <w:spacing w:val="-5"/>
          <w:szCs w:val="18"/>
        </w:rPr>
        <w:t xml:space="preserve"> </w:t>
      </w:r>
      <w:hyperlink r:id="rId11" w:history="1">
        <w:r w:rsidR="007424F3" w:rsidRPr="007424F3">
          <w:rPr>
            <w:rStyle w:val="Collegamentoipertestuale"/>
            <w:rFonts w:ascii="Times New Roman" w:hAnsi="Times New Roman"/>
            <w:i/>
            <w:sz w:val="16"/>
            <w:szCs w:val="16"/>
          </w:rPr>
          <w:t>Acquista da VP</w:t>
        </w:r>
      </w:hyperlink>
    </w:p>
    <w:p w:rsidR="001651F9" w:rsidRPr="00A53D36" w:rsidRDefault="001651F9" w:rsidP="00124298">
      <w:pPr>
        <w:pStyle w:val="Testo1"/>
        <w:spacing w:before="0"/>
        <w:rPr>
          <w:spacing w:val="-5"/>
          <w:sz w:val="20"/>
        </w:rPr>
      </w:pPr>
      <w:r w:rsidRPr="00A53D36">
        <w:rPr>
          <w:spacing w:val="-5"/>
          <w:sz w:val="20"/>
        </w:rPr>
        <w:t>Una lettura a scelta tra le seguenti:</w:t>
      </w:r>
    </w:p>
    <w:p w:rsidR="007D2AB3" w:rsidRDefault="007D2AB3" w:rsidP="00093FC7">
      <w:pPr>
        <w:pStyle w:val="Testo1"/>
        <w:spacing w:before="0"/>
      </w:pPr>
    </w:p>
    <w:p w:rsidR="007D2AB3" w:rsidRPr="00124298" w:rsidRDefault="007D2AB3" w:rsidP="007D2AB3">
      <w:pPr>
        <w:pStyle w:val="Testo1"/>
        <w:spacing w:before="0"/>
      </w:pPr>
      <w:r w:rsidRPr="00124298">
        <w:t xml:space="preserve">Augé M.-Pasqualini C., Habiter les villes-monde. (Non/Virtuels/Nouveaux) Lieux et relations sociales, in Studi di Sociologia, n. 4, 2016, pp. 303 - 313. </w:t>
      </w:r>
    </w:p>
    <w:p w:rsidR="007D2AB3" w:rsidRDefault="00093FC7" w:rsidP="00093FC7">
      <w:pPr>
        <w:pStyle w:val="Testo1"/>
        <w:spacing w:before="0"/>
      </w:pPr>
      <w:r w:rsidRPr="00124298">
        <w:lastRenderedPageBreak/>
        <w:t>Istituto G. Toniolo (a cura di), La condizione giovanile</w:t>
      </w:r>
      <w:r>
        <w:t xml:space="preserve"> in Italia. Rapporto Giovani 2020, Il Mulino, Bologna, 2020</w:t>
      </w:r>
      <w:r w:rsidR="007D2AB3">
        <w:t>.</w:t>
      </w:r>
      <w:r w:rsidR="007424F3">
        <w:t xml:space="preserve"> </w:t>
      </w:r>
      <w:hyperlink r:id="rId12" w:history="1">
        <w:r w:rsidR="007424F3" w:rsidRPr="007424F3">
          <w:rPr>
            <w:rStyle w:val="Collegamentoipertestuale"/>
            <w:rFonts w:ascii="Times New Roman" w:hAnsi="Times New Roman"/>
            <w:i/>
            <w:sz w:val="16"/>
            <w:szCs w:val="16"/>
          </w:rPr>
          <w:t>Acquista da VP</w:t>
        </w:r>
      </w:hyperlink>
    </w:p>
    <w:p w:rsidR="00093FC7" w:rsidRDefault="007D2AB3" w:rsidP="00093FC7">
      <w:pPr>
        <w:pStyle w:val="Testo1"/>
        <w:spacing w:before="0"/>
      </w:pPr>
      <w:r>
        <w:t>Morin E., L’identità umana. Il Metodo 5, Raffaello Cortina, Milano, 2002.</w:t>
      </w:r>
      <w:r w:rsidR="00093FC7" w:rsidRPr="00124298">
        <w:t xml:space="preserve"> </w:t>
      </w:r>
      <w:hyperlink r:id="rId13" w:history="1">
        <w:r w:rsidR="007424F3" w:rsidRPr="007424F3">
          <w:rPr>
            <w:rStyle w:val="Collegamentoipertestuale"/>
            <w:rFonts w:ascii="Times New Roman" w:hAnsi="Times New Roman"/>
            <w:i/>
            <w:sz w:val="16"/>
            <w:szCs w:val="16"/>
          </w:rPr>
          <w:t>Acquista da VP</w:t>
        </w:r>
      </w:hyperlink>
    </w:p>
    <w:p w:rsidR="001651F9" w:rsidRDefault="001651F9" w:rsidP="001651F9">
      <w:pPr>
        <w:spacing w:before="240" w:after="120"/>
        <w:rPr>
          <w:b/>
          <w:i/>
          <w:sz w:val="18"/>
        </w:rPr>
      </w:pPr>
      <w:r>
        <w:rPr>
          <w:b/>
          <w:i/>
          <w:sz w:val="18"/>
        </w:rPr>
        <w:t>DIDATTICA DEL CORSO</w:t>
      </w:r>
    </w:p>
    <w:p w:rsidR="00064364" w:rsidRPr="00814377" w:rsidRDefault="00064364" w:rsidP="00064364">
      <w:pPr>
        <w:pStyle w:val="Testo2"/>
      </w:pPr>
      <w:r w:rsidRPr="00814377">
        <w:t>Il corso si avvarrà di differenti modalità didattiche</w:t>
      </w:r>
      <w:r>
        <w:t>, alcune più tradizionali e altre più innovative</w:t>
      </w:r>
      <w:r w:rsidRPr="00814377">
        <w:t>: a lezioni frontali del docente si accompagneranno momenti interattivi di riflessione e confronto tra docente e studenti, attività seminariali e lavori in piccoli gruppi, incontri con esperti e uscite didattiche. Il docente utilizzerà inoltre materiale audiovisivo. Nello specifico:</w:t>
      </w:r>
    </w:p>
    <w:p w:rsidR="00064364" w:rsidRPr="001651F9" w:rsidRDefault="00064364" w:rsidP="00064364">
      <w:pPr>
        <w:pStyle w:val="Testo2"/>
      </w:pPr>
      <w:r w:rsidRPr="001651F9">
        <w:t>Nella prima parte (I semestre): sono previste lezioni frontali del docente e lezioni in cui sono gli studenti a relazionare alla classe su temi specifici. A tal fine, all’inizio del corso agli studenti, organizzati in piccoli gruppi (ciascuno formato da 3/4 studenti), verranno assegnate delle letture relative ad autori classici e contemporanei della sociologia – disponibili sulla Blackboard – su cui gli studenti sono chiamati a relazionare, secondo un calendario preventivamente concordato e comunicato. Sarà inoltre assegnato agli studenti un tema comune di ricerca, su cui l’intera classe dovrà relazionare e confrontarsi, nella forma del “talk show”, portando ciascuno contenuti e argomentazioni utili alla discussione collettiva.</w:t>
      </w:r>
    </w:p>
    <w:p w:rsidR="00064364" w:rsidRDefault="00064364" w:rsidP="00064364">
      <w:pPr>
        <w:pStyle w:val="Testo2"/>
      </w:pPr>
      <w:r w:rsidRPr="001651F9">
        <w:t>Nella seconda parte (II semestre): sono previste lezioni frontali del docente; sarà inoltre privilegiato l’uso di differenti e innovative metodologie didattiche finalizzate a rendere lo studente protagonista e parte attiva nel processo di conoscenza. All’inizio del secondo semestre saranno indicate delle letture (articoli, paper, report di ricerca) relative ai fenomeni specifici indagati nel corso (studi di caso) – disponibili sulla Blackboard – su cui gli studenti sono chiamati di volta in volta, secondo un calendario concordato e comunicato, a prepararsi per sostenere in classe una discussione con la docente e i compagni. Sarà inoltre assegnato un tema comune di ricerca su cui l’intera classe dovrà relazionare e confrontarsi, nella forma del “talk show”, portando ciascuno contenuti e argomentazioni utili alla discussione collettiva. È previsto anche l’intervento in classe di diversi esperti e l’organizzazione di alcune uscite didattiche (le passeggiate etnografiche) – con il docente e alcuni ciceroni locali – realizzate in alcuni quartieri della città di Milano.</w:t>
      </w:r>
    </w:p>
    <w:p w:rsidR="00064364" w:rsidRDefault="00064364" w:rsidP="00064364">
      <w:pPr>
        <w:pStyle w:val="Testo2"/>
      </w:pPr>
      <w:r w:rsidRPr="001F3A85">
        <w:t>Nel caso in cui la situazione sanitaria relativa alla pandemia di Covid-19 non dovesse consentire la didattica in presenza, sarà garantita l’erogazione a distanza dell’insegnamento con modalità che verranno comunicate in tempo utile agli studenti, e conseguentemente potranno subire modifiche le modalità di organizzazione delle prove di esame</w:t>
      </w:r>
    </w:p>
    <w:p w:rsidR="001651F9" w:rsidRDefault="001651F9" w:rsidP="001651F9">
      <w:pPr>
        <w:spacing w:before="240" w:after="120"/>
        <w:rPr>
          <w:b/>
          <w:i/>
          <w:sz w:val="18"/>
        </w:rPr>
      </w:pPr>
      <w:r>
        <w:rPr>
          <w:b/>
          <w:i/>
          <w:sz w:val="18"/>
        </w:rPr>
        <w:t>METODO E CRITERI DI VALUTAZIONE</w:t>
      </w:r>
    </w:p>
    <w:p w:rsidR="00064364" w:rsidRPr="001651F9" w:rsidRDefault="00064364" w:rsidP="00064364">
      <w:pPr>
        <w:pStyle w:val="Testo2"/>
      </w:pPr>
      <w:r w:rsidRPr="001651F9">
        <w:t>Con riferimento al programma (A):</w:t>
      </w:r>
    </w:p>
    <w:p w:rsidR="00064364" w:rsidRPr="001651F9" w:rsidRDefault="00064364" w:rsidP="00064364">
      <w:pPr>
        <w:pStyle w:val="Testo2"/>
        <w:rPr>
          <w:i/>
        </w:rPr>
      </w:pPr>
      <w:r w:rsidRPr="001651F9">
        <w:rPr>
          <w:i/>
        </w:rPr>
        <w:t>La valutazione complessiva e finale sarà esito della media aritmetica riportata nelle tre prove – colloquio orale, esercitazione di gruppo, paper scritto individuale – a cui vanno aggiunti i punti (da 0 a 4) conseguiti nelle presentazioni collettive e nelle attività seminariali.</w:t>
      </w:r>
    </w:p>
    <w:p w:rsidR="00064364" w:rsidRPr="007E51F2" w:rsidRDefault="00064364" w:rsidP="00064364">
      <w:pPr>
        <w:pStyle w:val="Testo2"/>
        <w:spacing w:before="120"/>
        <w:ind w:left="567" w:hanging="283"/>
        <w:rPr>
          <w:b/>
          <w:u w:val="single"/>
        </w:rPr>
      </w:pPr>
      <w:r>
        <w:lastRenderedPageBreak/>
        <w:t>1.</w:t>
      </w:r>
      <w:r>
        <w:tab/>
      </w:r>
      <w:r w:rsidRPr="00124298">
        <w:rPr>
          <w:i/>
        </w:rPr>
        <w:t>Colloquio orale</w:t>
      </w:r>
      <w:r w:rsidRPr="00124298">
        <w:t xml:space="preserve">: </w:t>
      </w:r>
      <w:r w:rsidRPr="007E51F2">
        <w:t>Il colloquio verte su tutte le letture presentate</w:t>
      </w:r>
      <w:r>
        <w:t xml:space="preserve"> e discusse</w:t>
      </w:r>
      <w:r w:rsidRPr="007E51F2">
        <w:t xml:space="preserve"> in classe (presenti in Blackboard) e sugli appunti del corso. Esso prevede tre domande: la prima di carattere generale, avrà come oggetto una tematica ampia che lo studente dovrà essere in grado di esporre, in maniera articolata, dando soprattutto prova delle capacità di ragionamento e di argomentazione. La seconda domanda sarà invece di carattere più circoscritto e valuterà il livello di approfondimento dello studio svolto. La terza </w:t>
      </w:r>
      <w:r>
        <w:t xml:space="preserve">domanda </w:t>
      </w:r>
      <w:r w:rsidRPr="007E51F2">
        <w:t xml:space="preserve">riguarderà il paper scritto </w:t>
      </w:r>
      <w:r>
        <w:t>redatto,</w:t>
      </w:r>
      <w:r w:rsidRPr="007E51F2">
        <w:t xml:space="preserve"> dallo studente. Le domande saranno valutate disgiuntamente con un voto che andrà </w:t>
      </w:r>
      <w:r>
        <w:t>d</w:t>
      </w:r>
      <w:r w:rsidRPr="007E51F2">
        <w:t>a 0 a 10 e il risultato finale del colloquio orale sarà dato dalla somma dei punti ottenuti nella risposta alle seguenti domande, per un massim</w:t>
      </w:r>
      <w:r>
        <w:t>o di punti</w:t>
      </w:r>
      <w:r w:rsidRPr="007E51F2">
        <w:t xml:space="preserve"> pari a 30/30. Il colloquio orale può essere sostenuto nelle date ufficiali d’appello.</w:t>
      </w:r>
    </w:p>
    <w:p w:rsidR="00064364" w:rsidRPr="00D65BDB" w:rsidRDefault="00064364" w:rsidP="00064364">
      <w:pPr>
        <w:pStyle w:val="Testo2"/>
        <w:numPr>
          <w:ilvl w:val="0"/>
          <w:numId w:val="4"/>
        </w:numPr>
        <w:spacing w:before="120"/>
        <w:ind w:left="568" w:hanging="284"/>
      </w:pPr>
      <w:r w:rsidRPr="00124298">
        <w:rPr>
          <w:i/>
        </w:rPr>
        <w:t>Esercitazione di gruppo</w:t>
      </w:r>
      <w:r w:rsidRPr="00124298">
        <w:t xml:space="preserve"> </w:t>
      </w:r>
      <w:r w:rsidRPr="00D65BDB">
        <w:t xml:space="preserve">consiste nel lavoro di </w:t>
      </w:r>
      <w:r>
        <w:t xml:space="preserve">studio e </w:t>
      </w:r>
      <w:r w:rsidRPr="00D65BDB">
        <w:t>ricerca prodotto dagli studenti, organizzati in piccoli gruppi di 3/4 persone, che a partire dai materiali assegnati dal docente produrranno una presentazione in power point, che sarà presentata e discussa in classe con il docente e i compagni. La presentazio</w:t>
      </w:r>
      <w:r>
        <w:t>ne sarà valutata in trentesimi, per un massimo di punti pari a 30/30. I criteri di valutazione della presentazione saranno i seguenti: a. competenza nell’utilizzo del linguaggio disciplinare e tecnico (20%); b. esaustività nell’individuazione delle tematiche fondamentali contenute nei materiali bibliografici forniti dal docente (30%); capacità di lavorare in gruppo e di organizzare il lavoro (20%); qualità dell’output (efficacia comunicativa, organizzazione concettuale) (30%).</w:t>
      </w:r>
    </w:p>
    <w:p w:rsidR="00064364" w:rsidRDefault="00064364" w:rsidP="00064364">
      <w:pPr>
        <w:pStyle w:val="Testo2"/>
        <w:numPr>
          <w:ilvl w:val="0"/>
          <w:numId w:val="4"/>
        </w:numPr>
        <w:spacing w:before="120"/>
        <w:ind w:left="568" w:hanging="284"/>
      </w:pPr>
      <w:r w:rsidRPr="00124298">
        <w:rPr>
          <w:i/>
        </w:rPr>
        <w:t>Il paper scritto</w:t>
      </w:r>
      <w:r w:rsidRPr="00D65BDB">
        <w:t xml:space="preserve"> consiste nella produzione di uno scritto individuale (circa 40.000 caratteri spazi inclusi) di natura teorica e empirica su un argomento concordato con il docente, che andrà consegnato nella sua </w:t>
      </w:r>
      <w:r>
        <w:t>forma definitiva (per email al</w:t>
      </w:r>
      <w:r w:rsidRPr="00D65BDB">
        <w:t xml:space="preserve"> docente) almeno sette giorni prima dell’appello in cui si intende sostenere l’esame</w:t>
      </w:r>
      <w:r>
        <w:t xml:space="preserve"> orale</w:t>
      </w:r>
      <w:r w:rsidRPr="00D65BDB">
        <w:t xml:space="preserve">. </w:t>
      </w:r>
      <w:r>
        <w:t xml:space="preserve">Il paper sarà oggetto di esame nella prova orale, sarà valutato in trentesimi, per un massimo di punti pari a 30/30. </w:t>
      </w:r>
      <w:r w:rsidRPr="00D65BDB">
        <w:t xml:space="preserve">I criteri di valutazione del paper saranno i seguenti: a. competenza nell’utilizzo del linguaggio disciplinare e tecnico (20%); b. </w:t>
      </w:r>
      <w:r>
        <w:t>originalità del tema affrontato</w:t>
      </w:r>
      <w:r w:rsidRPr="00D65BDB">
        <w:t xml:space="preserve"> (30%); c. competenza metodologica nell’impiego </w:t>
      </w:r>
      <w:r>
        <w:t>delle fonti e dei materiali</w:t>
      </w:r>
      <w:r w:rsidRPr="00D65BDB">
        <w:t xml:space="preserve"> (30%); d.</w:t>
      </w:r>
      <w:r>
        <w:t xml:space="preserve"> qualità di scrittura del paper</w:t>
      </w:r>
      <w:r w:rsidRPr="00D65BDB">
        <w:t xml:space="preserve"> (20%). </w:t>
      </w:r>
    </w:p>
    <w:p w:rsidR="00064364" w:rsidRPr="00124298" w:rsidRDefault="00064364" w:rsidP="00064364">
      <w:pPr>
        <w:pStyle w:val="Testo2"/>
        <w:numPr>
          <w:ilvl w:val="0"/>
          <w:numId w:val="11"/>
        </w:numPr>
        <w:spacing w:before="120"/>
        <w:ind w:left="568" w:hanging="284"/>
      </w:pPr>
      <w:r w:rsidRPr="00124298">
        <w:t xml:space="preserve">Presentazioni collettive e attività seminariali: il docente potrà assegnare un massimo di 4 punti a specifiche attività che presuppongono la partecipazione degli studenti: le due presentazioni collettive in classe su temi comuni assegnati dal docente (un punto a presentazione, per un massimo di 2 punti) e le attività seminariali organizzate dal docente (per un massimo di 2 punti). </w:t>
      </w:r>
    </w:p>
    <w:p w:rsidR="00064364" w:rsidRPr="00124298" w:rsidRDefault="00064364" w:rsidP="00064364">
      <w:pPr>
        <w:pStyle w:val="Testo2"/>
        <w:spacing w:before="120"/>
        <w:rPr>
          <w:i/>
        </w:rPr>
      </w:pPr>
      <w:r w:rsidRPr="00124298">
        <w:rPr>
          <w:i/>
        </w:rPr>
        <w:t>Con riferimento al programma (B):</w:t>
      </w:r>
    </w:p>
    <w:p w:rsidR="00064364" w:rsidRDefault="00064364" w:rsidP="00064364">
      <w:pPr>
        <w:pStyle w:val="Testo2"/>
      </w:pPr>
      <w:r w:rsidRPr="000213ED">
        <w:t xml:space="preserve">L’esame si svolge secondo la modalità del colloquio orale sul materiale indicato in bigliografia (programma B). Il colloquio prevede una domanda per ciascun volume in programma, per un totale di </w:t>
      </w:r>
      <w:r w:rsidRPr="002E632B">
        <w:t>6 domande.</w:t>
      </w:r>
      <w:r w:rsidRPr="000213ED">
        <w:t xml:space="preserve"> Le domande s</w:t>
      </w:r>
      <w:r>
        <w:t xml:space="preserve">aranno valutate disgiuntamente </w:t>
      </w:r>
      <w:r w:rsidRPr="000213ED">
        <w:t xml:space="preserve">con un voto che andrà da 0 a 5 e il risultato finale del colloquio orale sarà dato dalla somma dei punti ottenuti nella risposta alle seguenti domande, per un massimo di punti pari a 30/30. Il </w:t>
      </w:r>
      <w:r w:rsidRPr="000213ED">
        <w:lastRenderedPageBreak/>
        <w:t>docente potrà assegnare allo studente un punto aggiuntivo per la compenza dimostrata nell’utilizzo del linguaggio disciplinare.</w:t>
      </w:r>
    </w:p>
    <w:p w:rsidR="000213ED" w:rsidRDefault="000213ED" w:rsidP="000213ED">
      <w:pPr>
        <w:spacing w:before="240" w:after="120" w:line="240" w:lineRule="exact"/>
        <w:rPr>
          <w:b/>
          <w:i/>
          <w:sz w:val="18"/>
        </w:rPr>
      </w:pPr>
      <w:r>
        <w:rPr>
          <w:b/>
          <w:i/>
          <w:sz w:val="18"/>
        </w:rPr>
        <w:t>AVVERTENZE E PREREQUISITI</w:t>
      </w:r>
    </w:p>
    <w:p w:rsidR="00064364" w:rsidRDefault="00064364" w:rsidP="00064364">
      <w:pPr>
        <w:pStyle w:val="Testo2"/>
      </w:pPr>
      <w:r w:rsidRPr="00445E4B">
        <w:t>Programma aggiornato, calendario delle attività, materiali e altri documenti saranno via via comunicati sulla piattaforma Blackboard del corso, che sarà anche lo strumento per comunicare cambi di orari, informazioni sugli esami, eventuali variazioni di programma ed altro. Tutti gli studenti sono invitati pertanto a iscriversi alla pagina Blackboard del corso e a tenersi aggiornati.</w:t>
      </w:r>
    </w:p>
    <w:p w:rsidR="00064364" w:rsidRDefault="00064364" w:rsidP="00064364">
      <w:pPr>
        <w:pStyle w:val="Testo2"/>
      </w:pPr>
      <w:r>
        <w:t>Per gli studenti che seguono il programma di tipo A: qualora subentrassero durante la frequenza del corso sensate e</w:t>
      </w:r>
      <w:r w:rsidRPr="00E05942">
        <w:t xml:space="preserve"> ricevibili ragioni </w:t>
      </w:r>
      <w:r>
        <w:t>che impediscono la regolare frequenza al corso,</w:t>
      </w:r>
      <w:r w:rsidRPr="00E05942">
        <w:t xml:space="preserve"> ne dovranno discutere </w:t>
      </w:r>
      <w:r>
        <w:t xml:space="preserve">tempestivamente </w:t>
      </w:r>
      <w:r w:rsidRPr="00E05942">
        <w:t xml:space="preserve">con </w:t>
      </w:r>
      <w:r>
        <w:t>il docente.</w:t>
      </w:r>
    </w:p>
    <w:p w:rsidR="00064364" w:rsidRPr="00124298" w:rsidRDefault="00064364" w:rsidP="00064364">
      <w:pPr>
        <w:pStyle w:val="Testo2"/>
        <w:spacing w:before="120"/>
        <w:rPr>
          <w:i/>
        </w:rPr>
      </w:pPr>
      <w:r w:rsidRPr="00124298">
        <w:rPr>
          <w:i/>
        </w:rPr>
        <w:t>Orario e luogo di ricevimento</w:t>
      </w:r>
    </w:p>
    <w:p w:rsidR="00064364" w:rsidRPr="000213ED" w:rsidRDefault="00064364" w:rsidP="00064364">
      <w:pPr>
        <w:pStyle w:val="Testo2"/>
      </w:pPr>
      <w:r>
        <w:t>Il</w:t>
      </w:r>
      <w:r w:rsidRPr="000213ED">
        <w:t xml:space="preserve"> Prof. Cristina Pasqualini ricerve gli studenti presso il Dipartimento di Sociologia (edificio Franciscanum, IV piano) su appuntamento scrivendo a </w:t>
      </w:r>
      <w:r w:rsidRPr="00124298">
        <w:rPr>
          <w:i/>
        </w:rPr>
        <w:t>cristina.pasqualini@unicatt.it</w:t>
      </w:r>
      <w:r>
        <w:t>.</w:t>
      </w:r>
      <w:bookmarkStart w:id="1" w:name="_GoBack"/>
      <w:bookmarkEnd w:id="1"/>
    </w:p>
    <w:sectPr w:rsidR="00064364" w:rsidRPr="000213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F3" w:rsidRDefault="007424F3" w:rsidP="007424F3">
      <w:pPr>
        <w:spacing w:line="240" w:lineRule="auto"/>
      </w:pPr>
      <w:r>
        <w:separator/>
      </w:r>
    </w:p>
  </w:endnote>
  <w:endnote w:type="continuationSeparator" w:id="0">
    <w:p w:rsidR="007424F3" w:rsidRDefault="007424F3" w:rsidP="00742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F3" w:rsidRDefault="007424F3" w:rsidP="007424F3">
      <w:pPr>
        <w:spacing w:line="240" w:lineRule="auto"/>
      </w:pPr>
      <w:r>
        <w:separator/>
      </w:r>
    </w:p>
  </w:footnote>
  <w:footnote w:type="continuationSeparator" w:id="0">
    <w:p w:rsidR="007424F3" w:rsidRDefault="007424F3" w:rsidP="007424F3">
      <w:pPr>
        <w:spacing w:line="240" w:lineRule="auto"/>
      </w:pPr>
      <w:r>
        <w:continuationSeparator/>
      </w:r>
    </w:p>
  </w:footnote>
  <w:footnote w:id="1">
    <w:p w:rsidR="007424F3" w:rsidRDefault="007424F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9EF"/>
    <w:multiLevelType w:val="hybridMultilevel"/>
    <w:tmpl w:val="45D0CC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D9451B"/>
    <w:multiLevelType w:val="hybridMultilevel"/>
    <w:tmpl w:val="3E36E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E559C9"/>
    <w:multiLevelType w:val="hybridMultilevel"/>
    <w:tmpl w:val="5E7E678E"/>
    <w:lvl w:ilvl="0" w:tplc="CCE291A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B460C65"/>
    <w:multiLevelType w:val="hybridMultilevel"/>
    <w:tmpl w:val="5ACA4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E31A7B"/>
    <w:multiLevelType w:val="hybridMultilevel"/>
    <w:tmpl w:val="36608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DF6EBB"/>
    <w:multiLevelType w:val="hybridMultilevel"/>
    <w:tmpl w:val="FA0C4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FC7EEA"/>
    <w:multiLevelType w:val="hybridMultilevel"/>
    <w:tmpl w:val="044AD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0B0100"/>
    <w:multiLevelType w:val="hybridMultilevel"/>
    <w:tmpl w:val="C2D289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A3E3985"/>
    <w:multiLevelType w:val="hybridMultilevel"/>
    <w:tmpl w:val="ADD445F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60DF1F3A"/>
    <w:multiLevelType w:val="hybridMultilevel"/>
    <w:tmpl w:val="AB64B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69542F"/>
    <w:multiLevelType w:val="hybridMultilevel"/>
    <w:tmpl w:val="13E4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1"/>
  </w:num>
  <w:num w:numId="6">
    <w:abstractNumId w:val="4"/>
  </w:num>
  <w:num w:numId="7">
    <w:abstractNumId w:val="3"/>
  </w:num>
  <w:num w:numId="8">
    <w:abstractNumId w:val="5"/>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D1"/>
    <w:rsid w:val="000213ED"/>
    <w:rsid w:val="00064364"/>
    <w:rsid w:val="00093FC7"/>
    <w:rsid w:val="00124298"/>
    <w:rsid w:val="001651F9"/>
    <w:rsid w:val="00187B99"/>
    <w:rsid w:val="002014DD"/>
    <w:rsid w:val="002D5E17"/>
    <w:rsid w:val="002E632B"/>
    <w:rsid w:val="0031541E"/>
    <w:rsid w:val="003C56F3"/>
    <w:rsid w:val="004D1217"/>
    <w:rsid w:val="004D6008"/>
    <w:rsid w:val="00640794"/>
    <w:rsid w:val="006F1772"/>
    <w:rsid w:val="007424F3"/>
    <w:rsid w:val="007D2AB3"/>
    <w:rsid w:val="007F5EF8"/>
    <w:rsid w:val="008942E7"/>
    <w:rsid w:val="008A1204"/>
    <w:rsid w:val="008E4396"/>
    <w:rsid w:val="00900CCA"/>
    <w:rsid w:val="00924B77"/>
    <w:rsid w:val="00940DA2"/>
    <w:rsid w:val="009764D1"/>
    <w:rsid w:val="009E055C"/>
    <w:rsid w:val="009E23A6"/>
    <w:rsid w:val="00A5657F"/>
    <w:rsid w:val="00A74F6F"/>
    <w:rsid w:val="00AD7557"/>
    <w:rsid w:val="00B50C5D"/>
    <w:rsid w:val="00B51253"/>
    <w:rsid w:val="00B525CC"/>
    <w:rsid w:val="00D404F2"/>
    <w:rsid w:val="00E607E6"/>
    <w:rsid w:val="00F9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76E25"/>
  <w15:docId w15:val="{86EF5289-66F6-4560-BA71-F8888FBD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651F9"/>
    <w:pPr>
      <w:tabs>
        <w:tab w:val="clear" w:pos="284"/>
      </w:tabs>
      <w:spacing w:line="276" w:lineRule="auto"/>
      <w:ind w:left="720"/>
      <w:contextualSpacing/>
    </w:pPr>
    <w:rPr>
      <w:rFonts w:eastAsia="Calibri"/>
      <w:szCs w:val="22"/>
      <w:lang w:eastAsia="en-US"/>
    </w:rPr>
  </w:style>
  <w:style w:type="paragraph" w:styleId="Intestazione">
    <w:name w:val="header"/>
    <w:basedOn w:val="Normale"/>
    <w:link w:val="IntestazioneCarattere"/>
    <w:uiPriority w:val="99"/>
    <w:rsid w:val="001651F9"/>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1651F9"/>
    <w:rPr>
      <w:rFonts w:eastAsia="Calibri"/>
      <w:szCs w:val="22"/>
      <w:lang w:eastAsia="en-US"/>
    </w:rPr>
  </w:style>
  <w:style w:type="character" w:styleId="Collegamentoipertestuale">
    <w:name w:val="Hyperlink"/>
    <w:basedOn w:val="Carpredefinitoparagrafo"/>
    <w:unhideWhenUsed/>
    <w:rsid w:val="000213ED"/>
    <w:rPr>
      <w:color w:val="0563C1" w:themeColor="hyperlink"/>
      <w:u w:val="single"/>
    </w:rPr>
  </w:style>
  <w:style w:type="paragraph" w:styleId="Testonotaapidipagina">
    <w:name w:val="footnote text"/>
    <w:basedOn w:val="Normale"/>
    <w:link w:val="TestonotaapidipaginaCarattere"/>
    <w:rsid w:val="007424F3"/>
    <w:pPr>
      <w:spacing w:line="240" w:lineRule="auto"/>
    </w:pPr>
    <w:rPr>
      <w:szCs w:val="20"/>
    </w:rPr>
  </w:style>
  <w:style w:type="character" w:customStyle="1" w:styleId="TestonotaapidipaginaCarattere">
    <w:name w:val="Testo nota a piè di pagina Carattere"/>
    <w:basedOn w:val="Carpredefinitoparagrafo"/>
    <w:link w:val="Testonotaapidipagina"/>
    <w:rsid w:val="007424F3"/>
  </w:style>
  <w:style w:type="character" w:styleId="Rimandonotaapidipagina">
    <w:name w:val="footnote reference"/>
    <w:basedOn w:val="Carpredefinitoparagrafo"/>
    <w:rsid w:val="00742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uro-ceruti/il-tempo-della-complessita-9788832850000-530160.html" TargetMode="External"/><Relationship Id="rId13" Type="http://schemas.openxmlformats.org/officeDocument/2006/relationships/hyperlink" Target="https://librerie.unicatt.it/scheda-libro/edgar-morin/il-metodo-9788870787610-29817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utori-vari/la-condizione-giovanile-in-italia-rapporto-giovani-2020-9788815286826-68407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reta-thunberg/nessuno-e-troppo-piccolo-per-fare-la-differenza-9788804721123-67560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francesco-jorge-mario-bergoglio/laudato-si-enciclica-sulla-cura-della-casa-comune-guida-alla-lettura-di-carlo-petrini-9788821594250-227489.html" TargetMode="External"/><Relationship Id="rId4" Type="http://schemas.openxmlformats.org/officeDocument/2006/relationships/settings" Target="settings.xml"/><Relationship Id="rId9" Type="http://schemas.openxmlformats.org/officeDocument/2006/relationships/hyperlink" Target="https://librerie.unicatt.it/scheda-libro/edgar-morin-anne-b-kern/terra-patria-9788870782950-43717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DC4E-12AF-4FEF-B2EB-A3121736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6</Pages>
  <Words>2352</Words>
  <Characters>13409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2020-05-26T08:25:00Z</dcterms:created>
  <dcterms:modified xsi:type="dcterms:W3CDTF">2020-07-17T09:12:00Z</dcterms:modified>
</cp:coreProperties>
</file>