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FC7D87" w:rsidP="002D5E17">
      <w:pPr>
        <w:pStyle w:val="Titolo1"/>
      </w:pPr>
      <w:r>
        <w:t>Metodologie per la valutazioen delle politiche 1 (con lab.)</w:t>
      </w:r>
    </w:p>
    <w:p w:rsidR="00FC7D87" w:rsidRDefault="00FC7D87" w:rsidP="00FC7D87">
      <w:pPr>
        <w:pStyle w:val="Titolo2"/>
      </w:pPr>
      <w:r>
        <w:t>Prof. Teodora Erika Uberti</w:t>
      </w:r>
    </w:p>
    <w:p w:rsidR="00FC7D87" w:rsidRDefault="00FC7D87" w:rsidP="00FC7D87">
      <w:pPr>
        <w:spacing w:before="240" w:after="120" w:line="240" w:lineRule="exact"/>
        <w:rPr>
          <w:b/>
          <w:sz w:val="18"/>
        </w:rPr>
      </w:pPr>
      <w:r>
        <w:rPr>
          <w:b/>
          <w:i/>
          <w:sz w:val="18"/>
        </w:rPr>
        <w:t>OBIETTIVO DEL CORSO E RISULTATI DI APPRENDIMENTO ATTESI</w:t>
      </w:r>
    </w:p>
    <w:p w:rsidR="00FC7D87" w:rsidRPr="0001798F" w:rsidRDefault="00FC7D87" w:rsidP="00FC7D87">
      <w:r w:rsidRPr="0001798F">
        <w:t xml:space="preserve">Il corso è costituito da 40 ore erogate nel corso del primo semestre ed è affiancato da due laboratori, il </w:t>
      </w:r>
      <w:r w:rsidRPr="0001798F">
        <w:rPr>
          <w:i/>
        </w:rPr>
        <w:t xml:space="preserve">Laboratorio per l’uso dei software </w:t>
      </w:r>
      <w:r w:rsidRPr="0001798F">
        <w:t>(</w:t>
      </w:r>
      <w:r w:rsidRPr="0001798F">
        <w:rPr>
          <w:i/>
        </w:rPr>
        <w:t>Excel e Stata</w:t>
      </w:r>
      <w:r w:rsidRPr="0001798F">
        <w:t xml:space="preserve">) e il </w:t>
      </w:r>
      <w:r w:rsidRPr="0001798F">
        <w:rPr>
          <w:i/>
        </w:rPr>
        <w:t>Laboratorio di ricerca fonti e scrittura di paper e tesi</w:t>
      </w:r>
      <w:r w:rsidRPr="0001798F">
        <w:t xml:space="preserve">. </w:t>
      </w:r>
    </w:p>
    <w:p w:rsidR="00FC7D87" w:rsidRPr="0001798F" w:rsidRDefault="00FC7D87" w:rsidP="00FC7D87">
      <w:r w:rsidRPr="0001798F">
        <w:t xml:space="preserve">Il corso fornisce gli strumenti di analisi quantitativa delle politiche, partendo da elementi di base della statistica descrittiva univariata e bivariata e giungendo all’utilizzo delle principali tecniche econometriche. </w:t>
      </w:r>
    </w:p>
    <w:p w:rsidR="00FC7D87" w:rsidRPr="009D720F" w:rsidRDefault="00FC7D87" w:rsidP="00FC7D87">
      <w:r w:rsidRPr="0001798F">
        <w:t xml:space="preserve">I due laboratori che completano il corso sono di natura applicativa: il primo si concentra </w:t>
      </w:r>
      <w:r w:rsidRPr="00831133">
        <w:t>sull’apprendimento e perfezionamento dell’uso dei fogli di calcolo elettronico (Excel for Win) e l</w:t>
      </w:r>
      <w:r w:rsidRPr="009D720F">
        <w:t xml:space="preserve">’utilizzo del software econometrico STATA; il secondo è dedicato alla ricerca di fonti e alla scrittura di </w:t>
      </w:r>
      <w:r w:rsidRPr="009D720F">
        <w:rPr>
          <w:i/>
        </w:rPr>
        <w:t>paper</w:t>
      </w:r>
      <w:r w:rsidRPr="009D720F">
        <w:t xml:space="preserve"> e tesi. </w:t>
      </w:r>
    </w:p>
    <w:p w:rsidR="00FC7D87" w:rsidRPr="009D720F" w:rsidRDefault="00FC7D87" w:rsidP="00FC7D87">
      <w:r w:rsidRPr="009D720F">
        <w:t xml:space="preserve">In tutto il corso e durante i Laboratori verrà posta particolare attenzione nell’affiancare alle spiegazioni anche esempi ed esercizi su dati reali, tratti da contesti applicativi propri delle scienze politiche e sociali. </w:t>
      </w:r>
    </w:p>
    <w:p w:rsidR="00FC7D87" w:rsidRPr="009D720F" w:rsidRDefault="00FC7D87" w:rsidP="00FC7D87">
      <w:r w:rsidRPr="009D720F">
        <w:t xml:space="preserve">Pur non essendo prevista alcuna forma di frequenza obbligatoria alle lezioni ed ai Laboratori, se ne suggerisce vivamente la frequenza. Uno studio continuativo, di settimana in settimana, costituisce un valido metodo di apprendimento dei contenuti presentati durante il corso. </w:t>
      </w:r>
    </w:p>
    <w:p w:rsidR="00FC7D87" w:rsidRPr="00B93FE6" w:rsidRDefault="00FC7D87" w:rsidP="00FC7D87">
      <w:pPr>
        <w:rPr>
          <w:i/>
        </w:rPr>
      </w:pPr>
      <w:r w:rsidRPr="00B93FE6">
        <w:rPr>
          <w:i/>
        </w:rPr>
        <w:t>Conoscenza e comprensione</w:t>
      </w:r>
    </w:p>
    <w:p w:rsidR="00FC7D87" w:rsidRPr="00423AFA" w:rsidRDefault="00FC7D87" w:rsidP="00FC7D87">
      <w:r w:rsidRPr="00423AFA">
        <w:t>Lo studente acquisir</w:t>
      </w:r>
      <w:r>
        <w:t>à</w:t>
      </w:r>
      <w:r w:rsidRPr="00423AFA">
        <w:t xml:space="preserve"> la capacità di </w:t>
      </w:r>
      <w:r>
        <w:t xml:space="preserve">utilizzare in modo complementare tutte le tecniche apprese nel presente corso e nel successivo, Metodologie 2, che si svolgerà nel secondo semestre, e di </w:t>
      </w:r>
      <w:r w:rsidRPr="00423AFA">
        <w:t>impiegare tali tecniche in contesti complessi ed eterogenei in termini di obiettivi, missioni e valori.</w:t>
      </w:r>
    </w:p>
    <w:p w:rsidR="00FC7D87" w:rsidRPr="00B93FE6" w:rsidRDefault="00FC7D87" w:rsidP="00FC7D87">
      <w:pPr>
        <w:rPr>
          <w:i/>
        </w:rPr>
      </w:pPr>
      <w:r w:rsidRPr="00B93FE6">
        <w:rPr>
          <w:i/>
        </w:rPr>
        <w:t>Capacit</w:t>
      </w:r>
      <w:r>
        <w:rPr>
          <w:i/>
        </w:rPr>
        <w:t xml:space="preserve">à </w:t>
      </w:r>
      <w:r w:rsidRPr="00B93FE6">
        <w:rPr>
          <w:i/>
        </w:rPr>
        <w:t>di applicare conoscenza e comprensione</w:t>
      </w:r>
    </w:p>
    <w:p w:rsidR="00FC7D87" w:rsidRDefault="00FC7D87" w:rsidP="00FC7D87">
      <w:r>
        <w:t>Grazie alla parte applicata presente nel corso, lo studente sarà in grado di:</w:t>
      </w:r>
    </w:p>
    <w:p w:rsidR="00FC7D87" w:rsidRDefault="00FC7D87" w:rsidP="00FC7D87">
      <w:pPr>
        <w:ind w:left="284" w:hanging="284"/>
      </w:pPr>
      <w:r>
        <w:t>–</w:t>
      </w:r>
      <w:r>
        <w:tab/>
        <w:t>impostare</w:t>
      </w:r>
      <w:r w:rsidRPr="005508E4">
        <w:t xml:space="preserve"> un’analisi quantitativa, dalla raccolta e gestione dei dati alla </w:t>
      </w:r>
      <w:r>
        <w:t>riproduzione di analisi empiriche appropriate;</w:t>
      </w:r>
    </w:p>
    <w:p w:rsidR="00FC7D87" w:rsidRDefault="00FC7D87" w:rsidP="00FC7D87">
      <w:pPr>
        <w:ind w:left="284" w:hanging="284"/>
      </w:pPr>
      <w:r>
        <w:t>–</w:t>
      </w:r>
      <w:r>
        <w:tab/>
        <w:t xml:space="preserve">impostare in modo adeguato le domande di ricerca di un progetto (sia che si tratti della stesura di un </w:t>
      </w:r>
      <w:r w:rsidRPr="000E42A4">
        <w:rPr>
          <w:i/>
        </w:rPr>
        <w:t>paper</w:t>
      </w:r>
      <w:r>
        <w:t xml:space="preserve"> che della tesi magistrale);</w:t>
      </w:r>
    </w:p>
    <w:p w:rsidR="00FC7D87" w:rsidRDefault="00FC7D87" w:rsidP="00FC7D87">
      <w:pPr>
        <w:ind w:left="284" w:hanging="284"/>
      </w:pPr>
      <w:r>
        <w:t>–</w:t>
      </w:r>
      <w:r>
        <w:tab/>
        <w:t>completare un’analisi empirica dalla definizione delle domande di ricerca alla stima di un modello per analizzare gli effetti causali di interesse</w:t>
      </w:r>
      <w:r w:rsidRPr="00A3036E">
        <w:t xml:space="preserve"> </w:t>
      </w:r>
      <w:r>
        <w:t xml:space="preserve">per una </w:t>
      </w:r>
      <w:r w:rsidRPr="00E32E1D">
        <w:rPr>
          <w:i/>
        </w:rPr>
        <w:t>policy</w:t>
      </w:r>
      <w:r>
        <w:rPr>
          <w:i/>
        </w:rPr>
        <w:t xml:space="preserve"> evaluation</w:t>
      </w:r>
      <w:r>
        <w:t>;</w:t>
      </w:r>
    </w:p>
    <w:p w:rsidR="00FC7D87" w:rsidRPr="00A3036E" w:rsidRDefault="00FC7D87" w:rsidP="00FC7D87">
      <w:pPr>
        <w:ind w:left="284" w:hanging="284"/>
      </w:pPr>
      <w:r>
        <w:t>–</w:t>
      </w:r>
      <w:r>
        <w:tab/>
      </w:r>
      <w:r w:rsidRPr="00A3036E">
        <w:t xml:space="preserve">comprendere </w:t>
      </w:r>
      <w:r>
        <w:t xml:space="preserve">criticamente le </w:t>
      </w:r>
      <w:r w:rsidRPr="00A3036E">
        <w:t xml:space="preserve">analisi quantitative contenute nei </w:t>
      </w:r>
      <w:r w:rsidRPr="00A3036E">
        <w:rPr>
          <w:i/>
        </w:rPr>
        <w:t>report</w:t>
      </w:r>
      <w:r w:rsidRPr="00A3036E">
        <w:t>.</w:t>
      </w:r>
    </w:p>
    <w:p w:rsidR="00FC7D87" w:rsidRDefault="00885FA7" w:rsidP="00885FA7">
      <w:pPr>
        <w:spacing w:before="240" w:after="120" w:line="240" w:lineRule="exact"/>
        <w:rPr>
          <w:b/>
          <w:sz w:val="18"/>
        </w:rPr>
      </w:pPr>
      <w:r>
        <w:rPr>
          <w:b/>
          <w:i/>
          <w:sz w:val="18"/>
        </w:rPr>
        <w:t>PROGRAMMA DEL CORSO</w:t>
      </w:r>
    </w:p>
    <w:p w:rsidR="00885FA7" w:rsidRDefault="00885FA7" w:rsidP="00885FA7">
      <w:r>
        <w:t xml:space="preserve">Una volta </w:t>
      </w:r>
      <w:r w:rsidRPr="00423AFA">
        <w:t>ripres</w:t>
      </w:r>
      <w:r>
        <w:t>i</w:t>
      </w:r>
      <w:r w:rsidRPr="00423AFA">
        <w:t xml:space="preserve"> alcuni concetti di statistica </w:t>
      </w:r>
      <w:r>
        <w:t xml:space="preserve">descrittiva di base e </w:t>
      </w:r>
      <w:r w:rsidRPr="00423AFA">
        <w:t>dettagliata la natura dei dati utili per condurre analisi quantitative</w:t>
      </w:r>
      <w:r>
        <w:t>, durante il corso verranno:</w:t>
      </w:r>
      <w:r w:rsidRPr="00423AFA">
        <w:t xml:space="preserve"> </w:t>
      </w:r>
    </w:p>
    <w:p w:rsidR="00885FA7" w:rsidRDefault="00885FA7" w:rsidP="00885FA7">
      <w:pPr>
        <w:ind w:left="284" w:hanging="284"/>
      </w:pPr>
      <w:r>
        <w:lastRenderedPageBreak/>
        <w:t>–</w:t>
      </w:r>
      <w:r>
        <w:tab/>
        <w:t>presentate le regressioni lineari singole e multiple stimate con il metodo OLS;</w:t>
      </w:r>
    </w:p>
    <w:p w:rsidR="00885FA7" w:rsidRDefault="00885FA7" w:rsidP="00885FA7">
      <w:pPr>
        <w:ind w:left="284" w:hanging="284"/>
      </w:pPr>
      <w:r>
        <w:t>–</w:t>
      </w:r>
      <w:r>
        <w:tab/>
        <w:t>definiti e descritti i modelli non lineari (quali polinomi e forme logaritmiche);</w:t>
      </w:r>
    </w:p>
    <w:p w:rsidR="00885FA7" w:rsidRDefault="00885FA7" w:rsidP="00885FA7">
      <w:pPr>
        <w:ind w:left="284" w:hanging="284"/>
      </w:pPr>
      <w:r>
        <w:t>–</w:t>
      </w:r>
      <w:r>
        <w:tab/>
        <w:t xml:space="preserve">presentati </w:t>
      </w:r>
      <w:r w:rsidRPr="001B79F1">
        <w:t xml:space="preserve">modelli </w:t>
      </w:r>
      <w:r>
        <w:t xml:space="preserve">non lineari, quali </w:t>
      </w:r>
      <w:r w:rsidRPr="001B79F1">
        <w:t xml:space="preserve">i modelli lineari di probabilità, </w:t>
      </w:r>
      <w:r>
        <w:t xml:space="preserve">ma anche </w:t>
      </w:r>
      <w:r w:rsidRPr="001B79F1">
        <w:t>logit e probit</w:t>
      </w:r>
      <w:r>
        <w:t xml:space="preserve"> stimati con il metodo ML.</w:t>
      </w:r>
    </w:p>
    <w:p w:rsidR="00885FA7" w:rsidRPr="00423AFA" w:rsidRDefault="00885FA7" w:rsidP="00885FA7">
      <w:r>
        <w:t xml:space="preserve">Ogni modello e metodo di stima verrà descritto dal punto di vista teorico ed empirico attraverso l’utilizzo di STATA. In particolare </w:t>
      </w:r>
      <w:r w:rsidRPr="00423AFA">
        <w:t xml:space="preserve">gli studenti potranno applicare quanto spiegato a lezione ed esercitarsi con i relativi </w:t>
      </w:r>
      <w:r w:rsidRPr="00423AFA">
        <w:rPr>
          <w:i/>
        </w:rPr>
        <w:t>do files</w:t>
      </w:r>
      <w:r>
        <w:t>.</w:t>
      </w:r>
    </w:p>
    <w:p w:rsidR="00885FA7" w:rsidRDefault="00B57018" w:rsidP="00B57018">
      <w:pPr>
        <w:keepNext/>
        <w:spacing w:before="240" w:after="120" w:line="240" w:lineRule="exact"/>
        <w:rPr>
          <w:b/>
          <w:sz w:val="18"/>
        </w:rPr>
      </w:pPr>
      <w:r>
        <w:rPr>
          <w:b/>
          <w:i/>
          <w:sz w:val="18"/>
        </w:rPr>
        <w:t>BIBLIOGRAFIA</w:t>
      </w:r>
      <w:r w:rsidR="00006CF0">
        <w:rPr>
          <w:rStyle w:val="Rimandonotaapidipagina"/>
          <w:b/>
          <w:i/>
          <w:sz w:val="18"/>
        </w:rPr>
        <w:footnoteReference w:id="1"/>
      </w:r>
    </w:p>
    <w:p w:rsidR="00B57018" w:rsidRPr="00B57018" w:rsidRDefault="00B57018" w:rsidP="00B57018">
      <w:pPr>
        <w:pStyle w:val="Testo1"/>
        <w:spacing w:before="0"/>
        <w:rPr>
          <w:rFonts w:ascii="Times New Roman" w:hAnsi="Times New Roman"/>
          <w:szCs w:val="18"/>
        </w:rPr>
      </w:pPr>
      <w:r w:rsidRPr="00B57018">
        <w:rPr>
          <w:rFonts w:ascii="Times New Roman" w:hAnsi="Times New Roman"/>
          <w:szCs w:val="18"/>
        </w:rPr>
        <w:t>Si consigliano, oltre agli appunti delle lezioni e delle esercitazioni svolte in Laboratorio, alcuni capitoli selezionati dal volume:</w:t>
      </w:r>
    </w:p>
    <w:p w:rsidR="00B57018" w:rsidRPr="00B57018" w:rsidRDefault="00B57018" w:rsidP="00B57018">
      <w:pPr>
        <w:pStyle w:val="Testo1"/>
        <w:spacing w:before="0"/>
        <w:rPr>
          <w:rStyle w:val="Enfasicorsivo"/>
          <w:rFonts w:ascii="Times New Roman" w:hAnsi="Times New Roman"/>
          <w:bCs/>
          <w:i w:val="0"/>
          <w:noProof w:val="0"/>
          <w:spacing w:val="-5"/>
          <w:szCs w:val="18"/>
          <w:shd w:val="clear" w:color="auto" w:fill="FFFFFF"/>
        </w:rPr>
      </w:pPr>
      <w:r w:rsidRPr="00B57018">
        <w:rPr>
          <w:rStyle w:val="Enfasicorsivo"/>
          <w:rFonts w:ascii="Times New Roman" w:hAnsi="Times New Roman"/>
          <w:bCs/>
          <w:smallCaps/>
          <w:noProof w:val="0"/>
          <w:spacing w:val="-5"/>
          <w:szCs w:val="18"/>
          <w:shd w:val="clear" w:color="auto" w:fill="FFFFFF"/>
        </w:rPr>
        <w:t>J.H. Stock-M.W. Watson,</w:t>
      </w:r>
      <w:r w:rsidRPr="00B57018">
        <w:rPr>
          <w:rStyle w:val="Enfasicorsivo"/>
          <w:rFonts w:ascii="Times New Roman" w:hAnsi="Times New Roman"/>
          <w:bCs/>
          <w:noProof w:val="0"/>
          <w:spacing w:val="-5"/>
          <w:szCs w:val="18"/>
          <w:shd w:val="clear" w:color="auto" w:fill="FFFFFF"/>
        </w:rPr>
        <w:t xml:space="preserve"> Introduzione all’econometria, Pearson, Prentice Hall, 2016, 4a edizione (dal capitolo 1 al capitolo 9; capitolo 11, capitolo 12).</w:t>
      </w:r>
      <w:r w:rsidR="00006CF0">
        <w:rPr>
          <w:rStyle w:val="Enfasicorsivo"/>
          <w:rFonts w:ascii="Times New Roman" w:hAnsi="Times New Roman"/>
          <w:bCs/>
          <w:noProof w:val="0"/>
          <w:spacing w:val="-5"/>
          <w:szCs w:val="18"/>
          <w:shd w:val="clear" w:color="auto" w:fill="FFFFFF"/>
        </w:rPr>
        <w:t xml:space="preserve"> </w:t>
      </w:r>
      <w:hyperlink r:id="rId9" w:history="1">
        <w:r w:rsidR="00006CF0" w:rsidRPr="00006CF0">
          <w:rPr>
            <w:rStyle w:val="Collegamentoipertestuale"/>
            <w:rFonts w:ascii="Times New Roman" w:hAnsi="Times New Roman"/>
            <w:i/>
            <w:sz w:val="16"/>
            <w:szCs w:val="16"/>
          </w:rPr>
          <w:t>Acquista da VP</w:t>
        </w:r>
      </w:hyperlink>
    </w:p>
    <w:p w:rsidR="00B57018" w:rsidRPr="00B57018" w:rsidRDefault="00B57018" w:rsidP="00B57018">
      <w:pPr>
        <w:pStyle w:val="Testo1"/>
        <w:spacing w:before="0"/>
        <w:rPr>
          <w:rFonts w:ascii="Times New Roman" w:hAnsi="Times New Roman"/>
          <w:szCs w:val="18"/>
        </w:rPr>
      </w:pPr>
      <w:r w:rsidRPr="00B57018">
        <w:rPr>
          <w:rFonts w:ascii="Times New Roman" w:hAnsi="Times New Roman"/>
          <w:szCs w:val="18"/>
        </w:rPr>
        <w:t xml:space="preserve">Ulteriori indicazioni bibliografiche ed eventuali letture integrative verranno comunicate a lezione e rese disponibili su </w:t>
      </w:r>
      <w:r w:rsidRPr="00B57018">
        <w:rPr>
          <w:rFonts w:ascii="Times New Roman" w:hAnsi="Times New Roman"/>
          <w:i/>
          <w:szCs w:val="18"/>
        </w:rPr>
        <w:t>Blackboard</w:t>
      </w:r>
      <w:r w:rsidRPr="00B57018">
        <w:rPr>
          <w:rFonts w:ascii="Times New Roman" w:hAnsi="Times New Roman"/>
          <w:szCs w:val="18"/>
        </w:rPr>
        <w:t>, per cui se ne consiglia vivamente la consultazione e lo studio.</w:t>
      </w:r>
    </w:p>
    <w:p w:rsidR="00B57018" w:rsidRDefault="00B57018" w:rsidP="00B57018">
      <w:pPr>
        <w:spacing w:before="240" w:after="120"/>
        <w:rPr>
          <w:b/>
          <w:i/>
          <w:sz w:val="18"/>
        </w:rPr>
      </w:pPr>
      <w:r>
        <w:rPr>
          <w:b/>
          <w:i/>
          <w:sz w:val="18"/>
        </w:rPr>
        <w:t>DIDATTICA DEL CORSO</w:t>
      </w:r>
    </w:p>
    <w:p w:rsidR="00B57018" w:rsidRPr="00B57018" w:rsidRDefault="00B57018" w:rsidP="00B57018">
      <w:pPr>
        <w:pStyle w:val="Testo2"/>
      </w:pPr>
      <w:r w:rsidRPr="00B57018">
        <w:t>Sono previste lezioni frontali durante le quali verranno dettagliate le parti teoriche, ed esercitazioni in cui si affronteranno applicazioni pratiche.</w:t>
      </w:r>
    </w:p>
    <w:p w:rsidR="00B57018" w:rsidRPr="00B57018" w:rsidRDefault="00B57018" w:rsidP="00B57018">
      <w:pPr>
        <w:pStyle w:val="Testo2"/>
      </w:pPr>
      <w:r w:rsidRPr="00B57018">
        <w:t>Le lezioni saranno erogate in presenza. Le slides predisposte dalla docente verranno rese disponibili al termine della presentazione degli argomenti e costituiscono un materiale accessorio, e non sostitutivo del volume per cui si ricorda che lo studio delle sole slide non è sufficiente al superamento dell’esame.</w:t>
      </w:r>
    </w:p>
    <w:p w:rsidR="00B57018" w:rsidRPr="00B57018" w:rsidRDefault="00B57018" w:rsidP="00B57018">
      <w:pPr>
        <w:pStyle w:val="Testo2"/>
      </w:pPr>
      <w:r w:rsidRPr="00B57018">
        <w:t>Le lezioni del laboratorio saranno erogate online e prevedono sia momenti in diretta che asincroni per permettere un apprendimento personalizzato secondo le proprie esigenze e pregresse competenze.</w:t>
      </w:r>
    </w:p>
    <w:p w:rsidR="00B57018" w:rsidRPr="00B57018" w:rsidRDefault="00B57018" w:rsidP="00B57018">
      <w:pPr>
        <w:pStyle w:val="Testo2"/>
      </w:pPr>
      <w:r w:rsidRPr="00B57018">
        <w:t xml:space="preserve">La piattaforma Blackboard verrà utilizzata per rendere disponibili questi materiali. </w:t>
      </w:r>
    </w:p>
    <w:p w:rsidR="00B57018" w:rsidRPr="00B57018" w:rsidRDefault="00B57018" w:rsidP="00B57018">
      <w:pPr>
        <w:pStyle w:val="Testo2"/>
      </w:pPr>
      <w:r w:rsidRPr="00B57018">
        <w:t xml:space="preserve">Al corso si affianca un secondo Laboratorio, relativo alla ricerca delle fonti, alla formulazione di domande di ricerca adeguate per un articolo scientifico e/o lavoro di tesi. Dettagli di questo secondo Laboratorio sono riportati in calce a questo programma.  </w:t>
      </w:r>
    </w:p>
    <w:p w:rsidR="00B57018" w:rsidRDefault="00B57018" w:rsidP="00B57018">
      <w:pPr>
        <w:spacing w:before="240" w:after="120"/>
        <w:rPr>
          <w:b/>
          <w:i/>
          <w:sz w:val="18"/>
        </w:rPr>
      </w:pPr>
      <w:r>
        <w:rPr>
          <w:b/>
          <w:i/>
          <w:sz w:val="18"/>
        </w:rPr>
        <w:t>METODO E CRITERI DI VALUTAZIONE</w:t>
      </w:r>
    </w:p>
    <w:p w:rsidR="00752394" w:rsidRPr="00752394" w:rsidRDefault="00752394" w:rsidP="00752394">
      <w:pPr>
        <w:pStyle w:val="Testo2"/>
      </w:pPr>
      <w:r w:rsidRPr="00752394">
        <w:t>Il voto finale è una media ponderata dell’esito della prova scritta (67%) e del voto del project work (33%).</w:t>
      </w:r>
    </w:p>
    <w:p w:rsidR="00752394" w:rsidRPr="00752394" w:rsidRDefault="00752394" w:rsidP="00752394">
      <w:pPr>
        <w:pStyle w:val="Testo2"/>
      </w:pPr>
      <w:r w:rsidRPr="00752394">
        <w:t xml:space="preserve">La prima parte dell’esame comprende un esame in forma scritta e include domande aperte teoriche volte a testare sia le conoscenze delle tecniche di analisi econometriche che la capacità di lettura ed interpretazione di output di STATA. </w:t>
      </w:r>
    </w:p>
    <w:p w:rsidR="00752394" w:rsidRPr="00752394" w:rsidRDefault="00752394" w:rsidP="00752394">
      <w:pPr>
        <w:pStyle w:val="Testo2"/>
      </w:pPr>
      <w:r w:rsidRPr="00752394">
        <w:lastRenderedPageBreak/>
        <w:t xml:space="preserve">La seconda parte dell’esame è costituita dal project work, volto a testare le competenze nell’utilizzo del foglio di calcolo elettronico Excel e di STATA come presentati durante il Laboratorio per l’uso dei software (Excel e Stata). Tale project work è da consegnare, tramite Blackboard, prima dell’appello d’esame in cui si intende sostenere la prova scritta. </w:t>
      </w:r>
    </w:p>
    <w:p w:rsidR="00752394" w:rsidRPr="00752394" w:rsidRDefault="00752394" w:rsidP="00752394">
      <w:pPr>
        <w:pStyle w:val="Testo2"/>
      </w:pPr>
      <w:r w:rsidRPr="00752394">
        <w:t>Informazioni dettagliate su questo laboratorio e sul contenuto del project verranno forniti all’inizio del corso.</w:t>
      </w:r>
    </w:p>
    <w:p w:rsidR="00752394" w:rsidRPr="00752394" w:rsidRDefault="00752394" w:rsidP="00752394">
      <w:pPr>
        <w:pStyle w:val="Testo2"/>
      </w:pPr>
      <w:r w:rsidRPr="00752394">
        <w:t>Il voto finale proposto può essere incrementato dalla valutazione del Laboratorio di ricerca fonti e scrittura di paper e tesi, le cui competenze apprese vengono testate attraverso una serie di brevi test di autovalutazione (da svolgersi su Blackboard) che produce un punteggio di massimo di 2 punti (0; 0,5; 1; 1,5 oppure 2) che si somma al voto finale dell’esame di Metodologie 1. Tali test, da svolgersi in remoto, verranno resi disponibili esclusivamente in determinate date, dopo aver affrontato gli argomenti durante il laboratorio.</w:t>
      </w:r>
    </w:p>
    <w:p w:rsidR="00752394" w:rsidRPr="00752394" w:rsidRDefault="00752394" w:rsidP="00752394">
      <w:pPr>
        <w:pStyle w:val="Testo2"/>
      </w:pPr>
      <w:r w:rsidRPr="00752394">
        <w:t>Tale maggiorazione del voto è applicabile solo se il voto finale è maggiore o uguale a 18.</w:t>
      </w:r>
    </w:p>
    <w:p w:rsidR="00752394" w:rsidRPr="00752394" w:rsidRDefault="00752394" w:rsidP="00752394">
      <w:pPr>
        <w:pStyle w:val="Testo2"/>
      </w:pPr>
      <w:r w:rsidRPr="00752394">
        <w:t xml:space="preserve">A partire da gennaio 2021 è possibile svolgere la prova scritta iscrivendosi all’esame ufficiale attraverso il portale iCatt. Si ricorda che la mancata iscrizione all’esame tramite l’applicativo iCatt non permette allo studente di sostenere l’esame. </w:t>
      </w:r>
    </w:p>
    <w:p w:rsidR="00752394" w:rsidRPr="00752394" w:rsidRDefault="00752394" w:rsidP="00752394">
      <w:pPr>
        <w:pStyle w:val="Testo2"/>
      </w:pPr>
      <w:r w:rsidRPr="00752394">
        <w:t>Si consiglia di sostenere l’esame quanto prima al fine di riuscire ad affrontare le lezioni del secondo semestre senza lacune e con tutte le nozioni necessarie alla comprensione efficace dei contenuti del corso di Metodologie 2, rispetto al quale vi è propedeuticità.</w:t>
      </w:r>
    </w:p>
    <w:p w:rsidR="00752394" w:rsidRDefault="00752394" w:rsidP="00752394">
      <w:pPr>
        <w:spacing w:before="240" w:after="120" w:line="240" w:lineRule="exact"/>
        <w:rPr>
          <w:b/>
          <w:i/>
          <w:sz w:val="18"/>
        </w:rPr>
      </w:pPr>
      <w:r>
        <w:rPr>
          <w:b/>
          <w:i/>
          <w:sz w:val="18"/>
        </w:rPr>
        <w:t>AVVERTENZE E PREREQUISITI</w:t>
      </w:r>
    </w:p>
    <w:p w:rsidR="00752394" w:rsidRPr="00752394" w:rsidRDefault="00752394" w:rsidP="00752394">
      <w:pPr>
        <w:pStyle w:val="Testo2"/>
      </w:pPr>
      <w:r w:rsidRPr="00752394">
        <w:t>Le conoscenze di base di microeconomia e statistica costituiscono un prerequisito per questo modulo. Lo studente si può avvalere della preparazione fornita durante corsi della laurea triennale, oppure accedere ai corsi introduttivi di Economia politica e di Statistica resi disponibili su Blackboard, nonché di svolgere i relativi test di autovalutazione finale.</w:t>
      </w:r>
    </w:p>
    <w:p w:rsidR="00752394" w:rsidRPr="00752394" w:rsidRDefault="00752394" w:rsidP="00752394">
      <w:pPr>
        <w:pStyle w:val="Testo2"/>
      </w:pPr>
      <w:r w:rsidRPr="00752394">
        <w:t xml:space="preserve">Nel caso in cui la situazione sanitaria relativa alla pandemia di Covid-19 non dovesse consentire la didattica in presenza, sarà garantita l’erogazione a distanza dell’insegnamento </w:t>
      </w:r>
      <w:r w:rsidR="006F70B0">
        <w:t xml:space="preserve">e degli esami di profitto </w:t>
      </w:r>
      <w:r w:rsidRPr="00752394">
        <w:t>con modalità che verranno comunicate in tempo utile agli studenti.</w:t>
      </w:r>
    </w:p>
    <w:p w:rsidR="00752394" w:rsidRPr="00752394" w:rsidRDefault="00752394" w:rsidP="00752394">
      <w:pPr>
        <w:pStyle w:val="Testo2"/>
        <w:spacing w:before="120"/>
        <w:rPr>
          <w:i/>
        </w:rPr>
      </w:pPr>
      <w:r w:rsidRPr="00752394">
        <w:rPr>
          <w:i/>
        </w:rPr>
        <w:t>Orario e luogo di ricevimento</w:t>
      </w:r>
    </w:p>
    <w:p w:rsidR="00752394" w:rsidRPr="00752394" w:rsidRDefault="00752394" w:rsidP="00752394">
      <w:pPr>
        <w:pStyle w:val="Testo2"/>
      </w:pPr>
      <w:r w:rsidRPr="00752394">
        <w:t xml:space="preserve">Il Prof. Teodora Erika Uberti riceve gli studenti il venerdì dalle ore 15,00 alle ore 17,00 presso il suo ufficio (DISEIS, via Necchi 5, V piano, stanza 512) oppure in remoto utilizzando la piattaforma Microsoft Teams o Cisco Webex. </w:t>
      </w:r>
    </w:p>
    <w:p w:rsidR="00752394" w:rsidRPr="00752394" w:rsidRDefault="00752394" w:rsidP="00752394">
      <w:pPr>
        <w:pStyle w:val="Testo2"/>
      </w:pPr>
      <w:r w:rsidRPr="00752394">
        <w:t xml:space="preserve">Gli orari di ricevimento potrebbero subire delle modifiche, quindi si consiglia di prendere sempre visione degli avvisi nella bacheca elettronica della Pagina Personale dei docenti. </w:t>
      </w:r>
    </w:p>
    <w:p w:rsidR="008B1D10" w:rsidRDefault="008B1D10" w:rsidP="008B1D10">
      <w:pPr>
        <w:pStyle w:val="Titolo1"/>
        <w:ind w:left="0" w:firstLine="0"/>
      </w:pPr>
      <w:r w:rsidRPr="005B17AB">
        <w:t xml:space="preserve">Laboratorio di ricerca fonti e scrittura di paper e tesi </w:t>
      </w:r>
      <w:r>
        <w:t xml:space="preserve">(Metodologie per la </w:t>
      </w:r>
      <w:r w:rsidR="006F70B0">
        <w:t>v</w:t>
      </w:r>
      <w:r>
        <w:t xml:space="preserve">alutazione delle </w:t>
      </w:r>
      <w:r w:rsidR="006F70B0">
        <w:t>p</w:t>
      </w:r>
      <w:r>
        <w:t>olitiche 1)</w:t>
      </w:r>
    </w:p>
    <w:p w:rsidR="008B1D10" w:rsidRDefault="008B1D10" w:rsidP="008B1D10">
      <w:pPr>
        <w:pStyle w:val="Titolo2"/>
      </w:pPr>
      <w:r>
        <w:t>Prof. Alberto Aziani</w:t>
      </w:r>
    </w:p>
    <w:p w:rsidR="008B1D10" w:rsidRPr="009D720F" w:rsidRDefault="008B1D10" w:rsidP="008B1D10">
      <w:pPr>
        <w:pStyle w:val="Titolo3"/>
        <w:rPr>
          <w:b/>
        </w:rPr>
      </w:pPr>
      <w:r w:rsidRPr="009D720F">
        <w:rPr>
          <w:b/>
        </w:rPr>
        <w:lastRenderedPageBreak/>
        <w:t>Obiettivo del corso e risultati di apprendimento attesi</w:t>
      </w:r>
    </w:p>
    <w:p w:rsidR="008B1D10" w:rsidRDefault="008B1D10" w:rsidP="006F70B0">
      <w:r w:rsidRPr="006E192D">
        <w:t xml:space="preserve">Il laboratorio </w:t>
      </w:r>
      <w:r>
        <w:t xml:space="preserve">ha l’obiettivo di </w:t>
      </w:r>
      <w:r w:rsidRPr="006E192D">
        <w:t>introdurre gli studenti alla comprensione, progettazione e redazione di un saggio scientifico</w:t>
      </w:r>
      <w:r>
        <w:t xml:space="preserve"> migliorando così anche la loro capacità di elaborare una tesi di laurea</w:t>
      </w:r>
      <w:r w:rsidRPr="006E192D">
        <w:t>. Durante il laboratorio, vengono messe in luce le caratteristiche distintive delle principali forme di testo scientifico e presentate le principali convenzioni della scrittura accademica, a cominciare dalle modalità e dagli stili di citazione e di gestione della bibliografia. Durante il laboratorio, gli studenti vengono guidati attraverso il processo di impostazione e scrittura di sezioni di un testo scientifico. Oltre al focus sulla struttura formale del testo scientifico, i</w:t>
      </w:r>
      <w:r>
        <w:t xml:space="preserve">l laboratorio guida </w:t>
      </w:r>
      <w:r w:rsidRPr="006E192D">
        <w:t xml:space="preserve">gli studenti </w:t>
      </w:r>
      <w:r>
        <w:t>nel ragionare</w:t>
      </w:r>
      <w:r w:rsidRPr="006E192D">
        <w:t xml:space="preserve"> sui concetti di lacuna di conoscenza, domanda </w:t>
      </w:r>
      <w:r>
        <w:t>ed ipotesi della ricerca.</w:t>
      </w:r>
    </w:p>
    <w:p w:rsidR="008B1D10" w:rsidRPr="006F70B0" w:rsidRDefault="008B1D10" w:rsidP="006F70B0">
      <w:pPr>
        <w:rPr>
          <w:i/>
        </w:rPr>
      </w:pPr>
      <w:r w:rsidRPr="006F70B0">
        <w:rPr>
          <w:i/>
        </w:rPr>
        <w:t>Risultati di apprendimento attesi</w:t>
      </w:r>
    </w:p>
    <w:p w:rsidR="008B1D10" w:rsidRDefault="008B1D10" w:rsidP="006F70B0">
      <w:r w:rsidRPr="00603AD6">
        <w:t>Al termine</w:t>
      </w:r>
      <w:r>
        <w:t xml:space="preserve"> dell'insegnamento, lo studente:</w:t>
      </w:r>
    </w:p>
    <w:p w:rsidR="008B1D10" w:rsidRPr="00603AD6" w:rsidRDefault="006F70B0" w:rsidP="006F70B0">
      <w:pPr>
        <w:ind w:left="284" w:hanging="284"/>
      </w:pPr>
      <w:r>
        <w:t>–</w:t>
      </w:r>
      <w:r>
        <w:tab/>
      </w:r>
      <w:r w:rsidR="008B1D10" w:rsidRPr="00603AD6">
        <w:t>sarà in grado</w:t>
      </w:r>
      <w:r w:rsidR="008B1D10">
        <w:t xml:space="preserve"> di ragionare in maniera autonoma sul rapporto tra la letteratura esistente, l’identificazione di una lacuna conoscitiva, lo sviluppo di una domanda della ricerca, e la formulazione di un’ipotesi;</w:t>
      </w:r>
    </w:p>
    <w:p w:rsidR="008B1D10" w:rsidRDefault="006F70B0" w:rsidP="006F70B0">
      <w:pPr>
        <w:ind w:left="284" w:hanging="284"/>
      </w:pPr>
      <w:r>
        <w:t>–</w:t>
      </w:r>
      <w:r>
        <w:tab/>
      </w:r>
      <w:r w:rsidR="008B1D10">
        <w:t>sarà in grado di orientarsi tra le varie tipologie di testo scientifico distinguendone le caratteristiche e le loro finalità principali;</w:t>
      </w:r>
    </w:p>
    <w:p w:rsidR="008B1D10" w:rsidRDefault="006F70B0" w:rsidP="006F70B0">
      <w:pPr>
        <w:ind w:left="284" w:hanging="284"/>
      </w:pPr>
      <w:r>
        <w:t>–</w:t>
      </w:r>
      <w:r>
        <w:tab/>
      </w:r>
      <w:r w:rsidR="008B1D10">
        <w:t>conoscerà gli elementi fondamentali della struttura di un testo scientifico e la loro funzione all’interno dello stesso;</w:t>
      </w:r>
    </w:p>
    <w:p w:rsidR="008B1D10" w:rsidRDefault="006F70B0" w:rsidP="006F70B0">
      <w:pPr>
        <w:ind w:left="284" w:hanging="284"/>
      </w:pPr>
      <w:r>
        <w:t>–</w:t>
      </w:r>
      <w:r>
        <w:tab/>
      </w:r>
      <w:r w:rsidR="008B1D10">
        <w:t>avrà appreso le finalità di una revisione della letteratura e avrà delle competenze di base nell’utilizzo di software per la gestione della stessa;</w:t>
      </w:r>
    </w:p>
    <w:p w:rsidR="008B1D10" w:rsidRDefault="006F70B0" w:rsidP="006F70B0">
      <w:pPr>
        <w:ind w:left="284" w:hanging="284"/>
      </w:pPr>
      <w:r>
        <w:t>–</w:t>
      </w:r>
      <w:r>
        <w:tab/>
      </w:r>
      <w:r w:rsidR="008B1D10">
        <w:t>avrà appreso delle tecniche di base di scrittura scientifica, di gestione ed organizzazione del testo.</w:t>
      </w:r>
    </w:p>
    <w:p w:rsidR="006F70B0" w:rsidRDefault="006F70B0" w:rsidP="006F70B0">
      <w:pPr>
        <w:keepNext/>
        <w:spacing w:before="240" w:after="120" w:line="240" w:lineRule="exact"/>
        <w:rPr>
          <w:b/>
          <w:sz w:val="18"/>
        </w:rPr>
      </w:pPr>
      <w:r>
        <w:rPr>
          <w:b/>
          <w:i/>
          <w:sz w:val="18"/>
        </w:rPr>
        <w:t>BIBLIOGRAFIA</w:t>
      </w:r>
      <w:r w:rsidR="0090416C">
        <w:rPr>
          <w:rStyle w:val="Rimandonotaapidipagina"/>
          <w:b/>
          <w:i/>
          <w:sz w:val="18"/>
        </w:rPr>
        <w:footnoteReference w:id="2"/>
      </w:r>
    </w:p>
    <w:p w:rsidR="008B1D10" w:rsidRPr="006F70B0" w:rsidRDefault="006F70B0" w:rsidP="006F70B0">
      <w:pPr>
        <w:pStyle w:val="Testo1"/>
        <w:spacing w:before="0"/>
      </w:pPr>
      <w:r w:rsidRPr="006F70B0">
        <w:t xml:space="preserve"> </w:t>
      </w:r>
      <w:r w:rsidR="008B1D10" w:rsidRPr="006F70B0">
        <w:t>(testi e siti di approfondimento)</w:t>
      </w:r>
    </w:p>
    <w:p w:rsidR="008B1D10" w:rsidRPr="006F70B0" w:rsidRDefault="008B1D10" w:rsidP="006F70B0">
      <w:pPr>
        <w:pStyle w:val="Testo1"/>
        <w:spacing w:before="0"/>
      </w:pPr>
      <w:r w:rsidRPr="006F70B0">
        <w:t>Il seguente è un elenco di letture consigliate che integrano il materiale d’aula distribuito durante il laboratorio. Queste letture non sono obbligatorie per il superamento del laboratorio.</w:t>
      </w:r>
    </w:p>
    <w:p w:rsidR="008B1D10" w:rsidRPr="006F70B0" w:rsidRDefault="008B1D10" w:rsidP="006F70B0">
      <w:pPr>
        <w:pStyle w:val="Testo1"/>
        <w:spacing w:before="0"/>
        <w:rPr>
          <w:lang w:val="en-US"/>
        </w:rPr>
      </w:pPr>
      <w:r w:rsidRPr="006F70B0">
        <w:t xml:space="preserve">Cerruti, M., e M. Cini, </w:t>
      </w:r>
      <w:r w:rsidRPr="006F70B0">
        <w:rPr>
          <w:i/>
        </w:rPr>
        <w:t>Introduzione Elementare Alla Scrittura Accademica</w:t>
      </w:r>
      <w:r w:rsidRPr="006F70B0">
        <w:t xml:space="preserve">. </w:t>
      </w:r>
      <w:r w:rsidRPr="006F70B0">
        <w:rPr>
          <w:lang w:val="en-US"/>
        </w:rPr>
        <w:t>Bari-Roma: Laterza, 2007</w:t>
      </w:r>
    </w:p>
    <w:p w:rsidR="008B1D10" w:rsidRPr="006F70B0" w:rsidRDefault="008B1D10" w:rsidP="006F70B0">
      <w:pPr>
        <w:pStyle w:val="Testo1"/>
        <w:spacing w:before="0"/>
        <w:rPr>
          <w:lang w:val="en-US"/>
        </w:rPr>
      </w:pPr>
      <w:r w:rsidRPr="006F70B0">
        <w:rPr>
          <w:lang w:val="en-US"/>
        </w:rPr>
        <w:t xml:space="preserve">Dartmouth College, </w:t>
      </w:r>
      <w:r w:rsidRPr="006F70B0">
        <w:rPr>
          <w:i/>
          <w:lang w:val="en-US"/>
        </w:rPr>
        <w:t>Dartmouth Writing Program</w:t>
      </w:r>
      <w:r w:rsidRPr="006F70B0">
        <w:rPr>
          <w:lang w:val="en-US"/>
        </w:rPr>
        <w:t xml:space="preserve">, </w:t>
      </w:r>
      <w:hyperlink r:id="rId10" w:history="1">
        <w:r w:rsidRPr="006F70B0">
          <w:rPr>
            <w:rStyle w:val="Collegamentoipertestuale"/>
            <w:color w:val="auto"/>
            <w:u w:val="none"/>
            <w:lang w:val="en-US"/>
          </w:rPr>
          <w:t>https://writing-speech.dartmouth.edu/learning/materials</w:t>
        </w:r>
      </w:hyperlink>
      <w:r w:rsidRPr="006F70B0">
        <w:rPr>
          <w:lang w:val="en-US"/>
        </w:rPr>
        <w:t xml:space="preserve"> </w:t>
      </w:r>
    </w:p>
    <w:p w:rsidR="008B1D10" w:rsidRPr="006F70B0" w:rsidRDefault="008B1D10" w:rsidP="006F70B0">
      <w:pPr>
        <w:pStyle w:val="Testo1"/>
        <w:spacing w:before="0"/>
      </w:pPr>
      <w:r w:rsidRPr="006F70B0">
        <w:t xml:space="preserve">Dell’Orso, F., </w:t>
      </w:r>
      <w:r w:rsidRPr="006F70B0">
        <w:rPr>
          <w:i/>
        </w:rPr>
        <w:t xml:space="preserve">Citazioni bibliografiche, </w:t>
      </w:r>
      <w:hyperlink r:id="rId11" w:history="1">
        <w:r w:rsidRPr="006F70B0">
          <w:rPr>
            <w:rStyle w:val="Collegamentoipertestuale"/>
            <w:color w:val="auto"/>
            <w:u w:val="none"/>
          </w:rPr>
          <w:t>http://www.aib.it/aib/contr/dellorso1.htm</w:t>
        </w:r>
      </w:hyperlink>
      <w:r w:rsidRPr="006F70B0">
        <w:t xml:space="preserve"> </w:t>
      </w:r>
    </w:p>
    <w:p w:rsidR="008B1D10" w:rsidRPr="006F70B0" w:rsidRDefault="008B1D10" w:rsidP="006F70B0">
      <w:pPr>
        <w:pStyle w:val="Testo1"/>
        <w:spacing w:before="0"/>
      </w:pPr>
      <w:r w:rsidRPr="006F70B0">
        <w:t xml:space="preserve">Eco, U., </w:t>
      </w:r>
      <w:r w:rsidRPr="006F70B0">
        <w:rPr>
          <w:i/>
        </w:rPr>
        <w:t>Come si fa una tesi di laurea: le materie umanistiche,</w:t>
      </w:r>
      <w:r w:rsidRPr="006F70B0">
        <w:t xml:space="preserve"> Milano: Bompiani, 1999</w:t>
      </w:r>
    </w:p>
    <w:p w:rsidR="008B1D10" w:rsidRPr="006F70B0" w:rsidRDefault="008B1D10" w:rsidP="006F70B0">
      <w:pPr>
        <w:pStyle w:val="Testo1"/>
        <w:spacing w:before="0"/>
      </w:pPr>
      <w:r w:rsidRPr="006F70B0">
        <w:rPr>
          <w:lang w:val="en-GB"/>
        </w:rPr>
        <w:t xml:space="preserve">Hamilton College. 2015. “Writing Resources - Writing Center Handouts - Hamilton College.” </w:t>
      </w:r>
      <w:hyperlink r:id="rId12" w:history="1">
        <w:r w:rsidRPr="006F70B0">
          <w:rPr>
            <w:rStyle w:val="Collegamentoipertestuale"/>
            <w:color w:val="auto"/>
            <w:u w:val="none"/>
          </w:rPr>
          <w:t>http://www.hamilton.edu/writing/writing-resources/writing-center-handouts</w:t>
        </w:r>
      </w:hyperlink>
      <w:r w:rsidRPr="006F70B0">
        <w:t xml:space="preserve">. </w:t>
      </w:r>
    </w:p>
    <w:p w:rsidR="008B1D10" w:rsidRPr="006F70B0" w:rsidRDefault="008B1D10" w:rsidP="006F70B0">
      <w:pPr>
        <w:pStyle w:val="Testo1"/>
        <w:spacing w:before="0"/>
        <w:rPr>
          <w:rStyle w:val="Collegamentoipertestuale"/>
          <w:color w:val="auto"/>
          <w:u w:val="none"/>
          <w:lang w:val="en-US"/>
        </w:rPr>
      </w:pPr>
      <w:r w:rsidRPr="006F70B0">
        <w:rPr>
          <w:lang w:val="en-US"/>
        </w:rPr>
        <w:lastRenderedPageBreak/>
        <w:t xml:space="preserve">McAfee A., E. Brynjolfsson, </w:t>
      </w:r>
      <w:r w:rsidRPr="006F70B0">
        <w:rPr>
          <w:i/>
          <w:lang w:val="en-US"/>
        </w:rPr>
        <w:t xml:space="preserve">Big Data: The Management Revolution, </w:t>
      </w:r>
      <w:r w:rsidRPr="006F70B0">
        <w:rPr>
          <w:lang w:val="en-US"/>
        </w:rPr>
        <w:t xml:space="preserve">Cambridge, MA: Harvard Business Review, 2012, </w:t>
      </w:r>
      <w:hyperlink r:id="rId13" w:history="1">
        <w:r w:rsidRPr="006F70B0">
          <w:rPr>
            <w:rStyle w:val="Collegamentoipertestuale"/>
            <w:color w:val="auto"/>
            <w:u w:val="none"/>
            <w:lang w:val="en-US"/>
          </w:rPr>
          <w:t>https://hbr.org/2012/10/big-data-the-management-revolution</w:t>
        </w:r>
      </w:hyperlink>
    </w:p>
    <w:p w:rsidR="008B1D10" w:rsidRPr="006F70B0" w:rsidRDefault="008B1D10" w:rsidP="006F70B0">
      <w:pPr>
        <w:pStyle w:val="Testo1"/>
        <w:spacing w:before="0"/>
        <w:rPr>
          <w:lang w:val="en-US"/>
        </w:rPr>
      </w:pPr>
      <w:r w:rsidRPr="006F70B0">
        <w:rPr>
          <w:lang w:val="en-US"/>
        </w:rPr>
        <w:t xml:space="preserve">Purdue University. 2015. “The Purdue OWL: Academic Writing.” </w:t>
      </w:r>
      <w:hyperlink r:id="rId14" w:history="1">
        <w:r w:rsidRPr="006F70B0">
          <w:rPr>
            <w:rStyle w:val="Collegamentoipertestuale"/>
            <w:color w:val="auto"/>
            <w:u w:val="none"/>
            <w:lang w:val="en-GB"/>
          </w:rPr>
          <w:t>https://owl.english.purdue.edu/owl/section/1/2/</w:t>
        </w:r>
      </w:hyperlink>
      <w:r w:rsidRPr="006F70B0">
        <w:rPr>
          <w:lang w:val="en-GB"/>
        </w:rPr>
        <w:t>.</w:t>
      </w:r>
    </w:p>
    <w:p w:rsidR="008B1D10" w:rsidRPr="006F70B0" w:rsidRDefault="008B1D10" w:rsidP="006F70B0">
      <w:pPr>
        <w:pStyle w:val="Testo1"/>
        <w:spacing w:before="0"/>
        <w:rPr>
          <w:lang w:val="en-US"/>
        </w:rPr>
      </w:pPr>
      <w:r w:rsidRPr="006F70B0">
        <w:rPr>
          <w:lang w:val="en-US"/>
        </w:rPr>
        <w:t xml:space="preserve">Ridgeway G., </w:t>
      </w:r>
      <w:r w:rsidRPr="006F70B0">
        <w:rPr>
          <w:i/>
          <w:lang w:val="en-US"/>
        </w:rPr>
        <w:t xml:space="preserve">Policing in the Era of Big Data, </w:t>
      </w:r>
      <w:r w:rsidRPr="006F70B0">
        <w:rPr>
          <w:lang w:val="en-US"/>
        </w:rPr>
        <w:t>The Annual Review of Criminology</w:t>
      </w:r>
      <w:r w:rsidRPr="006F70B0">
        <w:rPr>
          <w:i/>
          <w:lang w:val="en-US"/>
        </w:rPr>
        <w:t xml:space="preserve">: </w:t>
      </w:r>
      <w:r w:rsidRPr="006F70B0">
        <w:rPr>
          <w:lang w:val="en-US"/>
        </w:rPr>
        <w:t xml:space="preserve">2018, </w:t>
      </w:r>
      <w:hyperlink r:id="rId15" w:history="1">
        <w:r w:rsidRPr="006F70B0">
          <w:rPr>
            <w:rStyle w:val="Collegamentoipertestuale"/>
            <w:color w:val="auto"/>
            <w:u w:val="none"/>
            <w:lang w:val="en-US"/>
          </w:rPr>
          <w:t>http://www.annualreviews.org/doi/pdf/10.1146/annurev-criminol-062217-114209</w:t>
        </w:r>
      </w:hyperlink>
    </w:p>
    <w:p w:rsidR="008B1D10" w:rsidRPr="006F70B0" w:rsidRDefault="008B1D10" w:rsidP="006F70B0">
      <w:pPr>
        <w:pStyle w:val="Testo1"/>
        <w:spacing w:before="0"/>
        <w:rPr>
          <w:lang w:val="en-US"/>
        </w:rPr>
      </w:pPr>
      <w:r w:rsidRPr="006F70B0">
        <w:t xml:space="preserve">Santambrogio, M., </w:t>
      </w:r>
      <w:r w:rsidRPr="006F70B0">
        <w:rPr>
          <w:i/>
        </w:rPr>
        <w:t>Manuale Di Scrittura (Non Creativa)</w:t>
      </w:r>
      <w:r w:rsidRPr="006F70B0">
        <w:t xml:space="preserve">. </w:t>
      </w:r>
      <w:r w:rsidRPr="006F70B0">
        <w:rPr>
          <w:lang w:val="en-US"/>
        </w:rPr>
        <w:t>Bari-Roma: Laterza, 2006</w:t>
      </w:r>
    </w:p>
    <w:p w:rsidR="008B1D10" w:rsidRPr="006F70B0" w:rsidRDefault="008B1D10" w:rsidP="006F70B0">
      <w:pPr>
        <w:pStyle w:val="Testo1"/>
        <w:spacing w:before="0"/>
        <w:rPr>
          <w:lang w:val="en-US"/>
        </w:rPr>
      </w:pPr>
      <w:r w:rsidRPr="006F70B0">
        <w:rPr>
          <w:lang w:val="en-US"/>
        </w:rPr>
        <w:t xml:space="preserve">Simon Fraser University, </w:t>
      </w:r>
      <w:r w:rsidRPr="006F70B0">
        <w:rPr>
          <w:i/>
          <w:lang w:val="en-US"/>
        </w:rPr>
        <w:t>Writing for University</w:t>
      </w:r>
      <w:r w:rsidRPr="006F70B0">
        <w:rPr>
          <w:lang w:val="en-US"/>
        </w:rPr>
        <w:t xml:space="preserve">, </w:t>
      </w:r>
      <w:hyperlink r:id="rId16" w:history="1">
        <w:r w:rsidRPr="006F70B0">
          <w:rPr>
            <w:rStyle w:val="Collegamentoipertestuale"/>
            <w:color w:val="auto"/>
            <w:u w:val="none"/>
            <w:lang w:val="en-US"/>
          </w:rPr>
          <w:t>http://www.lib.sfu.ca/slc/strategies/writing</w:t>
        </w:r>
      </w:hyperlink>
    </w:p>
    <w:p w:rsidR="008B1D10" w:rsidRPr="006F70B0" w:rsidRDefault="008B1D10" w:rsidP="006F70B0">
      <w:pPr>
        <w:pStyle w:val="Testo1"/>
        <w:spacing w:before="0"/>
        <w:rPr>
          <w:lang w:val="en-US"/>
        </w:rPr>
      </w:pPr>
      <w:r w:rsidRPr="006F70B0">
        <w:rPr>
          <w:lang w:val="en-GB"/>
        </w:rPr>
        <w:t xml:space="preserve">University of Oxford, </w:t>
      </w:r>
      <w:r w:rsidRPr="006F70B0">
        <w:rPr>
          <w:i/>
          <w:lang w:val="en-GB"/>
        </w:rPr>
        <w:t xml:space="preserve">Developing Good Practice, </w:t>
      </w:r>
      <w:hyperlink r:id="rId17" w:history="1">
        <w:r w:rsidRPr="006F70B0">
          <w:rPr>
            <w:rStyle w:val="Collegamentoipertestuale"/>
            <w:color w:val="auto"/>
            <w:u w:val="none"/>
            <w:lang w:val="en-GB"/>
          </w:rPr>
          <w:t>http://www.admin.ox.ac.uk/edc/goodpractice/develop/</w:t>
        </w:r>
      </w:hyperlink>
      <w:r w:rsidRPr="006F70B0">
        <w:rPr>
          <w:i/>
          <w:lang w:val="en-GB"/>
        </w:rPr>
        <w:t xml:space="preserve"> </w:t>
      </w:r>
    </w:p>
    <w:p w:rsidR="008B1D10" w:rsidRPr="006F70B0" w:rsidRDefault="008B1D10" w:rsidP="006F70B0">
      <w:pPr>
        <w:pStyle w:val="Testo1"/>
        <w:spacing w:before="0"/>
        <w:rPr>
          <w:lang w:val="en-US"/>
        </w:rPr>
      </w:pPr>
      <w:r w:rsidRPr="006F70B0">
        <w:rPr>
          <w:lang w:val="en-GB"/>
        </w:rPr>
        <w:t xml:space="preserve">University of Oxford, </w:t>
      </w:r>
      <w:r w:rsidRPr="006F70B0">
        <w:rPr>
          <w:i/>
          <w:lang w:val="en-GB"/>
        </w:rPr>
        <w:t>Plagiarism</w:t>
      </w:r>
      <w:r w:rsidRPr="006F70B0">
        <w:rPr>
          <w:lang w:val="en-GB"/>
        </w:rPr>
        <w:t xml:space="preserve">, </w:t>
      </w:r>
      <w:hyperlink r:id="rId18" w:history="1">
        <w:r w:rsidRPr="006F70B0">
          <w:rPr>
            <w:rStyle w:val="Collegamentoipertestuale"/>
            <w:color w:val="auto"/>
            <w:u w:val="none"/>
            <w:lang w:val="en-GB"/>
          </w:rPr>
          <w:t>https://www.ox.ac.uk/students/academic/guidance/skills/plagiarism?wssl=1</w:t>
        </w:r>
      </w:hyperlink>
    </w:p>
    <w:p w:rsidR="008B1D10" w:rsidRPr="006F70B0" w:rsidRDefault="008B1D10" w:rsidP="006F70B0">
      <w:pPr>
        <w:pStyle w:val="Testo1"/>
        <w:spacing w:before="0"/>
        <w:rPr>
          <w:lang w:val="en-US"/>
        </w:rPr>
      </w:pPr>
      <w:r w:rsidRPr="006F70B0">
        <w:rPr>
          <w:lang w:val="en-US"/>
        </w:rPr>
        <w:t xml:space="preserve">University of Toronto, </w:t>
      </w:r>
      <w:r w:rsidRPr="006F70B0">
        <w:rPr>
          <w:i/>
          <w:lang w:val="en-US"/>
        </w:rPr>
        <w:t>Writing Center</w:t>
      </w:r>
      <w:r w:rsidRPr="006F70B0">
        <w:rPr>
          <w:lang w:val="en-US"/>
        </w:rPr>
        <w:t xml:space="preserve">, </w:t>
      </w:r>
      <w:hyperlink r:id="rId19" w:history="1">
        <w:r w:rsidRPr="006F70B0">
          <w:rPr>
            <w:rStyle w:val="Collegamentoipertestuale"/>
            <w:color w:val="auto"/>
            <w:u w:val="none"/>
            <w:lang w:val="en-US"/>
          </w:rPr>
          <w:t>http://utsc.utoronto.ca/twc/handouts-and-online-resources-writing</w:t>
        </w:r>
      </w:hyperlink>
      <w:r w:rsidRPr="006F70B0">
        <w:rPr>
          <w:lang w:val="en-US"/>
        </w:rPr>
        <w:t xml:space="preserve"> </w:t>
      </w:r>
    </w:p>
    <w:p w:rsidR="008B1D10" w:rsidRPr="006F70B0" w:rsidRDefault="008B1D10" w:rsidP="006F70B0">
      <w:pPr>
        <w:pStyle w:val="Testo1"/>
        <w:spacing w:before="0"/>
        <w:rPr>
          <w:lang w:val="en-US"/>
        </w:rPr>
      </w:pPr>
      <w:r w:rsidRPr="006F70B0">
        <w:rPr>
          <w:lang w:val="en-US"/>
        </w:rPr>
        <w:t xml:space="preserve">University of Wisconsin, </w:t>
      </w:r>
      <w:r w:rsidRPr="006F70B0">
        <w:rPr>
          <w:i/>
          <w:lang w:val="en-US"/>
        </w:rPr>
        <w:t>The Writer’s Handbook</w:t>
      </w:r>
      <w:r w:rsidRPr="006F70B0">
        <w:rPr>
          <w:lang w:val="en-US"/>
        </w:rPr>
        <w:t xml:space="preserve">, </w:t>
      </w:r>
      <w:hyperlink r:id="rId20" w:history="1">
        <w:r w:rsidRPr="006F70B0">
          <w:rPr>
            <w:rStyle w:val="Collegamentoipertestuale"/>
            <w:color w:val="auto"/>
            <w:u w:val="none"/>
            <w:lang w:val="en-US"/>
          </w:rPr>
          <w:t>http://writing.wisc.edu/Handbook/index.html</w:t>
        </w:r>
      </w:hyperlink>
      <w:r w:rsidRPr="006F70B0">
        <w:rPr>
          <w:lang w:val="en-US"/>
        </w:rPr>
        <w:t xml:space="preserve"> </w:t>
      </w:r>
    </w:p>
    <w:p w:rsidR="006F70B0" w:rsidRPr="009D720F" w:rsidRDefault="006F70B0" w:rsidP="006F70B0">
      <w:pPr>
        <w:pStyle w:val="Titolo3"/>
        <w:rPr>
          <w:b/>
        </w:rPr>
      </w:pPr>
      <w:r w:rsidRPr="009D720F">
        <w:rPr>
          <w:b/>
        </w:rPr>
        <w:t>Didattica del corso</w:t>
      </w:r>
    </w:p>
    <w:p w:rsidR="006F70B0" w:rsidRDefault="006F70B0" w:rsidP="006F70B0">
      <w:pPr>
        <w:pStyle w:val="Testo2"/>
      </w:pPr>
      <w:r w:rsidRPr="006E192D">
        <w:t>Le ore del laboratorio sono divise tra lezioni teoriche e di applicazione pratica incentrate su esercizi di scrittura e di introduzione all’utilizzo di software di supporto alla scrittura.</w:t>
      </w:r>
    </w:p>
    <w:p w:rsidR="006F70B0" w:rsidRDefault="006F70B0" w:rsidP="006F70B0">
      <w:pPr>
        <w:pStyle w:val="Testo2"/>
      </w:pPr>
      <w:r>
        <w:t>La frequenza delle lezioni è fortemente raccomandata.</w:t>
      </w:r>
    </w:p>
    <w:p w:rsidR="008B1D10" w:rsidRPr="00BB138C" w:rsidRDefault="008B1D10" w:rsidP="008B1D10">
      <w:pPr>
        <w:pStyle w:val="Titolo3"/>
      </w:pPr>
      <w:r w:rsidRPr="009D720F">
        <w:rPr>
          <w:b/>
        </w:rPr>
        <w:t>Metodo e criteri di valutazione</w:t>
      </w:r>
    </w:p>
    <w:p w:rsidR="008B1D10" w:rsidRDefault="008B1D10" w:rsidP="006F70B0">
      <w:pPr>
        <w:pStyle w:val="Testo2"/>
      </w:pPr>
      <w:r w:rsidRPr="00F522E4">
        <w:t>Le competenze acquisite nel “Laboratorio di ricerca fonti e scrittura di paper e tesi” vengono testate attraverso una serie di brevi test di autovalutazione (da svolgersi su Blackboard) che produce un punteggio di massimo di 2 punti (nel dettaglio 0; 0,5; 1; 1,5 oppure 2) che si somma al voto finale dell’esame di Metodologie 1 solo se tale valutazione è</w:t>
      </w:r>
      <w:r>
        <w:t xml:space="preserve"> maggiore o uguale a 18</w:t>
      </w:r>
      <w:r w:rsidRPr="00CA0807">
        <w:t xml:space="preserve">. </w:t>
      </w:r>
      <w:r>
        <w:t>I</w:t>
      </w:r>
      <w:r w:rsidRPr="00CA0807">
        <w:t xml:space="preserve"> test </w:t>
      </w:r>
      <w:r>
        <w:t>prevederanno</w:t>
      </w:r>
      <w:r w:rsidRPr="00CA0807">
        <w:t xml:space="preserve"> una combinazione</w:t>
      </w:r>
      <w:r>
        <w:t xml:space="preserve"> di domande a risposta multipla</w:t>
      </w:r>
      <w:r w:rsidRPr="00CA0807">
        <w:t xml:space="preserve"> </w:t>
      </w:r>
      <w:r>
        <w:t xml:space="preserve">e </w:t>
      </w:r>
      <w:r w:rsidRPr="00CA0807">
        <w:t>brevi domande aperte.</w:t>
      </w:r>
      <w:r>
        <w:t xml:space="preserve"> Il test sarà incentrato sui contenuti del laboratorio discussi in aula durante le lezioni. I test saranno disponibili su </w:t>
      </w:r>
      <w:r w:rsidRPr="00C72CD5">
        <w:rPr>
          <w:i/>
        </w:rPr>
        <w:t>Blackboard</w:t>
      </w:r>
      <w:r>
        <w:t xml:space="preserve"> in apposite finestre temporali la cui data e durata sarà comunicata agli studenti con il necessario anticipo.</w:t>
      </w:r>
    </w:p>
    <w:p w:rsidR="008B1D10" w:rsidRDefault="008B1D10" w:rsidP="006F70B0">
      <w:pPr>
        <w:pStyle w:val="Testo2"/>
      </w:pPr>
      <w:r w:rsidRPr="009D720F">
        <w:t>Criteri di valutazione</w:t>
      </w:r>
    </w:p>
    <w:p w:rsidR="008B1D10" w:rsidRPr="009D720F" w:rsidRDefault="008B1D10" w:rsidP="006F70B0">
      <w:pPr>
        <w:pStyle w:val="Testo2"/>
      </w:pPr>
      <w:r w:rsidRPr="009D720F">
        <w:t>I seguenti saranno i criteri utilizzati per la valutazione:</w:t>
      </w:r>
    </w:p>
    <w:p w:rsidR="008B1D10" w:rsidRPr="009D720F" w:rsidRDefault="006F70B0" w:rsidP="006F70B0">
      <w:pPr>
        <w:pStyle w:val="Testo2"/>
      </w:pPr>
      <w:r>
        <w:t>–</w:t>
      </w:r>
      <w:r>
        <w:tab/>
      </w:r>
      <w:r w:rsidR="008B1D10" w:rsidRPr="009D720F">
        <w:t>capacità di ragionamento autonomo sugli elementi strutturali di un testo scientifico e sulla loro funzione;</w:t>
      </w:r>
    </w:p>
    <w:p w:rsidR="008B1D10" w:rsidRPr="009D720F" w:rsidRDefault="006F70B0" w:rsidP="006F70B0">
      <w:pPr>
        <w:pStyle w:val="Testo2"/>
      </w:pPr>
      <w:r>
        <w:t>–</w:t>
      </w:r>
      <w:r>
        <w:tab/>
      </w:r>
      <w:r w:rsidR="008B1D10" w:rsidRPr="009D720F">
        <w:t>capacità di sintesi;</w:t>
      </w:r>
    </w:p>
    <w:p w:rsidR="008B1D10" w:rsidRPr="009D720F" w:rsidRDefault="006F70B0" w:rsidP="006F70B0">
      <w:pPr>
        <w:pStyle w:val="Testo2"/>
      </w:pPr>
      <w:r>
        <w:t>–</w:t>
      </w:r>
      <w:r>
        <w:tab/>
      </w:r>
      <w:r w:rsidR="008B1D10" w:rsidRPr="009D720F">
        <w:t>capacità di utilizzare una terminologia appropriata per l’argomento trattato;</w:t>
      </w:r>
    </w:p>
    <w:p w:rsidR="008B1D10" w:rsidRPr="009D720F" w:rsidRDefault="006F70B0" w:rsidP="006F70B0">
      <w:pPr>
        <w:pStyle w:val="Testo2"/>
      </w:pPr>
      <w:r>
        <w:t>–</w:t>
      </w:r>
      <w:r>
        <w:tab/>
      </w:r>
      <w:r w:rsidR="008B1D10" w:rsidRPr="009D720F">
        <w:t>conoscenza delle nozioni discusse durante il laboratorio.</w:t>
      </w:r>
    </w:p>
    <w:p w:rsidR="006F70B0" w:rsidRDefault="006F70B0" w:rsidP="006F70B0">
      <w:pPr>
        <w:spacing w:before="240" w:after="120" w:line="240" w:lineRule="exact"/>
        <w:rPr>
          <w:b/>
          <w:i/>
          <w:sz w:val="18"/>
        </w:rPr>
      </w:pPr>
      <w:r>
        <w:rPr>
          <w:b/>
          <w:i/>
          <w:sz w:val="18"/>
        </w:rPr>
        <w:t>AVVERTENZE E PREREQUISITI</w:t>
      </w:r>
    </w:p>
    <w:p w:rsidR="006F70B0" w:rsidRDefault="006F70B0" w:rsidP="006F70B0">
      <w:pPr>
        <w:pStyle w:val="Testo2"/>
      </w:pPr>
      <w:r>
        <w:t>Non sono previsti prerequisiti per la partecipazione al laboratorio.</w:t>
      </w:r>
    </w:p>
    <w:p w:rsidR="006F70B0" w:rsidRPr="00C853D6" w:rsidRDefault="006F70B0" w:rsidP="006F70B0">
      <w:pPr>
        <w:pStyle w:val="Testo2"/>
      </w:pPr>
      <w:r w:rsidRPr="00C853D6">
        <w:lastRenderedPageBreak/>
        <w:t xml:space="preserve">Nel caso in cui la situazione sanitaria relativa alla pandemia di Covid-19 non dovesse consentire la didattica in presenza, sarà garantita l’erogazione a distanza dell’insegnamento </w:t>
      </w:r>
      <w:r>
        <w:t xml:space="preserve">e degli esami di profitto </w:t>
      </w:r>
      <w:r w:rsidRPr="00C853D6">
        <w:t>con modalità che verranno comunicate in tempo utile agli studenti.</w:t>
      </w:r>
    </w:p>
    <w:p w:rsidR="008B1D10" w:rsidRPr="006F70B0" w:rsidRDefault="008B1D10" w:rsidP="006F70B0">
      <w:pPr>
        <w:pStyle w:val="Testo2"/>
        <w:spacing w:before="120"/>
        <w:rPr>
          <w:i/>
          <w:sz w:val="20"/>
        </w:rPr>
      </w:pPr>
      <w:r w:rsidRPr="006F70B0">
        <w:rPr>
          <w:i/>
        </w:rPr>
        <w:t xml:space="preserve">Orario e luogo di ricevimento </w:t>
      </w:r>
    </w:p>
    <w:p w:rsidR="008B1D10" w:rsidRPr="006F70B0" w:rsidRDefault="008B1D10" w:rsidP="006F70B0">
      <w:pPr>
        <w:pStyle w:val="Testo2"/>
      </w:pPr>
      <w:r w:rsidRPr="006F70B0">
        <w:t xml:space="preserve">Il ricevimento degli studenti si tiene presso il Centro Transcrime in via San Vittore 43/45 ed eventualmente telematicamente via Teams previo appuntamento via mail da indirizzare a: </w:t>
      </w:r>
      <w:hyperlink r:id="rId21" w:history="1">
        <w:r w:rsidRPr="006F70B0">
          <w:rPr>
            <w:rStyle w:val="Collegamentoipertestuale"/>
            <w:color w:val="auto"/>
            <w:u w:val="none"/>
          </w:rPr>
          <w:t>alberto.aziani@unicatt.it</w:t>
        </w:r>
      </w:hyperlink>
      <w:r w:rsidRPr="006F70B0">
        <w:t>.</w:t>
      </w:r>
    </w:p>
    <w:sectPr w:rsidR="008B1D10" w:rsidRPr="006F70B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F0" w:rsidRDefault="00006CF0" w:rsidP="00006CF0">
      <w:pPr>
        <w:spacing w:line="240" w:lineRule="auto"/>
      </w:pPr>
      <w:r>
        <w:separator/>
      </w:r>
    </w:p>
  </w:endnote>
  <w:endnote w:type="continuationSeparator" w:id="0">
    <w:p w:rsidR="00006CF0" w:rsidRDefault="00006CF0" w:rsidP="00006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F0" w:rsidRDefault="00006CF0" w:rsidP="00006CF0">
      <w:pPr>
        <w:spacing w:line="240" w:lineRule="auto"/>
      </w:pPr>
      <w:r>
        <w:separator/>
      </w:r>
    </w:p>
  </w:footnote>
  <w:footnote w:type="continuationSeparator" w:id="0">
    <w:p w:rsidR="00006CF0" w:rsidRDefault="00006CF0" w:rsidP="00006CF0">
      <w:pPr>
        <w:spacing w:line="240" w:lineRule="auto"/>
      </w:pPr>
      <w:r>
        <w:continuationSeparator/>
      </w:r>
    </w:p>
  </w:footnote>
  <w:footnote w:id="1">
    <w:p w:rsidR="00006CF0" w:rsidRDefault="00006CF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90416C" w:rsidRDefault="0090416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00D4B"/>
    <w:multiLevelType w:val="hybridMultilevel"/>
    <w:tmpl w:val="D30E7186"/>
    <w:lvl w:ilvl="0" w:tplc="9E4C6C28">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6C4F1A"/>
    <w:multiLevelType w:val="hybridMultilevel"/>
    <w:tmpl w:val="3BC429C2"/>
    <w:lvl w:ilvl="0" w:tplc="2E42EBA8">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5C2D82"/>
    <w:multiLevelType w:val="hybridMultilevel"/>
    <w:tmpl w:val="FB7ED2D0"/>
    <w:lvl w:ilvl="0" w:tplc="9E4C6C2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A79EE"/>
    <w:multiLevelType w:val="hybridMultilevel"/>
    <w:tmpl w:val="D57E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C3"/>
    <w:rsid w:val="00006CF0"/>
    <w:rsid w:val="000334FC"/>
    <w:rsid w:val="00187B99"/>
    <w:rsid w:val="002014DD"/>
    <w:rsid w:val="002D5E17"/>
    <w:rsid w:val="004D1217"/>
    <w:rsid w:val="004D6008"/>
    <w:rsid w:val="00640794"/>
    <w:rsid w:val="006F1772"/>
    <w:rsid w:val="006F70B0"/>
    <w:rsid w:val="00752394"/>
    <w:rsid w:val="00885FA7"/>
    <w:rsid w:val="008942E7"/>
    <w:rsid w:val="008A1204"/>
    <w:rsid w:val="008B1D10"/>
    <w:rsid w:val="00900CCA"/>
    <w:rsid w:val="0090416C"/>
    <w:rsid w:val="00924B77"/>
    <w:rsid w:val="00940DA2"/>
    <w:rsid w:val="009E055C"/>
    <w:rsid w:val="00A74F6F"/>
    <w:rsid w:val="00AD7557"/>
    <w:rsid w:val="00B50C5D"/>
    <w:rsid w:val="00B51253"/>
    <w:rsid w:val="00B525CC"/>
    <w:rsid w:val="00B57018"/>
    <w:rsid w:val="00D404F2"/>
    <w:rsid w:val="00E607E6"/>
    <w:rsid w:val="00FB3CC3"/>
    <w:rsid w:val="00FC7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7D87"/>
    <w:pPr>
      <w:spacing w:line="240" w:lineRule="exact"/>
      <w:ind w:left="720"/>
      <w:contextualSpacing/>
    </w:pPr>
  </w:style>
  <w:style w:type="character" w:styleId="Enfasicorsivo">
    <w:name w:val="Emphasis"/>
    <w:uiPriority w:val="20"/>
    <w:qFormat/>
    <w:rsid w:val="00B57018"/>
    <w:rPr>
      <w:i/>
      <w:iCs/>
    </w:rPr>
  </w:style>
  <w:style w:type="character" w:styleId="Collegamentoipertestuale">
    <w:name w:val="Hyperlink"/>
    <w:uiPriority w:val="99"/>
    <w:rsid w:val="008B1D10"/>
    <w:rPr>
      <w:rFonts w:cs="Times New Roman"/>
      <w:color w:val="0000FF"/>
      <w:u w:val="single"/>
    </w:rPr>
  </w:style>
  <w:style w:type="paragraph" w:styleId="Testonotaapidipagina">
    <w:name w:val="footnote text"/>
    <w:basedOn w:val="Normale"/>
    <w:link w:val="TestonotaapidipaginaCarattere"/>
    <w:rsid w:val="00006CF0"/>
    <w:pPr>
      <w:spacing w:line="240" w:lineRule="auto"/>
    </w:pPr>
    <w:rPr>
      <w:szCs w:val="20"/>
    </w:rPr>
  </w:style>
  <w:style w:type="character" w:customStyle="1" w:styleId="TestonotaapidipaginaCarattere">
    <w:name w:val="Testo nota a piè di pagina Carattere"/>
    <w:basedOn w:val="Carpredefinitoparagrafo"/>
    <w:link w:val="Testonotaapidipagina"/>
    <w:rsid w:val="00006CF0"/>
  </w:style>
  <w:style w:type="character" w:styleId="Rimandonotaapidipagina">
    <w:name w:val="footnote reference"/>
    <w:basedOn w:val="Carpredefinitoparagrafo"/>
    <w:rsid w:val="00006C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7D87"/>
    <w:pPr>
      <w:spacing w:line="240" w:lineRule="exact"/>
      <w:ind w:left="720"/>
      <w:contextualSpacing/>
    </w:pPr>
  </w:style>
  <w:style w:type="character" w:styleId="Enfasicorsivo">
    <w:name w:val="Emphasis"/>
    <w:uiPriority w:val="20"/>
    <w:qFormat/>
    <w:rsid w:val="00B57018"/>
    <w:rPr>
      <w:i/>
      <w:iCs/>
    </w:rPr>
  </w:style>
  <w:style w:type="character" w:styleId="Collegamentoipertestuale">
    <w:name w:val="Hyperlink"/>
    <w:uiPriority w:val="99"/>
    <w:rsid w:val="008B1D10"/>
    <w:rPr>
      <w:rFonts w:cs="Times New Roman"/>
      <w:color w:val="0000FF"/>
      <w:u w:val="single"/>
    </w:rPr>
  </w:style>
  <w:style w:type="paragraph" w:styleId="Testonotaapidipagina">
    <w:name w:val="footnote text"/>
    <w:basedOn w:val="Normale"/>
    <w:link w:val="TestonotaapidipaginaCarattere"/>
    <w:rsid w:val="00006CF0"/>
    <w:pPr>
      <w:spacing w:line="240" w:lineRule="auto"/>
    </w:pPr>
    <w:rPr>
      <w:szCs w:val="20"/>
    </w:rPr>
  </w:style>
  <w:style w:type="character" w:customStyle="1" w:styleId="TestonotaapidipaginaCarattere">
    <w:name w:val="Testo nota a piè di pagina Carattere"/>
    <w:basedOn w:val="Carpredefinitoparagrafo"/>
    <w:link w:val="Testonotaapidipagina"/>
    <w:rsid w:val="00006CF0"/>
  </w:style>
  <w:style w:type="character" w:styleId="Rimandonotaapidipagina">
    <w:name w:val="footnote reference"/>
    <w:basedOn w:val="Carpredefinitoparagrafo"/>
    <w:rsid w:val="00006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br.org/2012/10/big-data-the-management-revolution" TargetMode="External"/><Relationship Id="rId18" Type="http://schemas.openxmlformats.org/officeDocument/2006/relationships/hyperlink" Target="https://www.ox.ac.uk/students/academic/guidance/skills/plagiarism?wssl=1" TargetMode="External"/><Relationship Id="rId3" Type="http://schemas.openxmlformats.org/officeDocument/2006/relationships/styles" Target="styles.xml"/><Relationship Id="rId21" Type="http://schemas.openxmlformats.org/officeDocument/2006/relationships/hyperlink" Target="mailto:alberto.aziani@unicatt.it" TargetMode="External"/><Relationship Id="rId7" Type="http://schemas.openxmlformats.org/officeDocument/2006/relationships/footnotes" Target="footnotes.xml"/><Relationship Id="rId12" Type="http://schemas.openxmlformats.org/officeDocument/2006/relationships/hyperlink" Target="http://www.hamilton.edu/writing/writing-resources/writing-center-handouts" TargetMode="External"/><Relationship Id="rId17" Type="http://schemas.openxmlformats.org/officeDocument/2006/relationships/hyperlink" Target="http://www.admin.ox.ac.uk/edc/goodpractice/develop/" TargetMode="External"/><Relationship Id="rId2" Type="http://schemas.openxmlformats.org/officeDocument/2006/relationships/numbering" Target="numbering.xml"/><Relationship Id="rId16" Type="http://schemas.openxmlformats.org/officeDocument/2006/relationships/hyperlink" Target="http://www.lib.sfu.ca/slc/strategies/writing" TargetMode="External"/><Relationship Id="rId20" Type="http://schemas.openxmlformats.org/officeDocument/2006/relationships/hyperlink" Target="http://writing.wisc.edu/Handbook/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b.it/aib/contr/dellorso1.htm" TargetMode="External"/><Relationship Id="rId5" Type="http://schemas.openxmlformats.org/officeDocument/2006/relationships/settings" Target="settings.xml"/><Relationship Id="rId15" Type="http://schemas.openxmlformats.org/officeDocument/2006/relationships/hyperlink" Target="http://www.annualreviews.org/doi/pdf/10.1146/annurev-criminol-062217-114209" TargetMode="External"/><Relationship Id="rId23" Type="http://schemas.openxmlformats.org/officeDocument/2006/relationships/theme" Target="theme/theme1.xml"/><Relationship Id="rId10" Type="http://schemas.openxmlformats.org/officeDocument/2006/relationships/hyperlink" Target="https://writing-speech.dartmouth.edu/learning/materials" TargetMode="External"/><Relationship Id="rId19" Type="http://schemas.openxmlformats.org/officeDocument/2006/relationships/hyperlink" Target="http://utsc.utoronto.ca/twc/handouts-and-online-resources-writing" TargetMode="External"/><Relationship Id="rId4" Type="http://schemas.microsoft.com/office/2007/relationships/stylesWithEffects" Target="stylesWithEffects.xml"/><Relationship Id="rId9" Type="http://schemas.openxmlformats.org/officeDocument/2006/relationships/hyperlink" Target="https://librerie.unicatt.it/scheda-libro/james-h-stock-mark-w-watson/introduzione-alleconometria-ediz-mylab-9788891901248-243624.html" TargetMode="External"/><Relationship Id="rId14" Type="http://schemas.openxmlformats.org/officeDocument/2006/relationships/hyperlink" Target="https://owl.english.purdue.edu/owl/section/1/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54AD-F53E-4462-AB9F-29BBD3BD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32</TotalTime>
  <Pages>6</Pages>
  <Words>1857</Words>
  <Characters>12446</Characters>
  <Application>Microsoft Office Word</Application>
  <DocSecurity>0</DocSecurity>
  <Lines>103</Lines>
  <Paragraphs>28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8</cp:revision>
  <cp:lastPrinted>2003-03-27T10:42:00Z</cp:lastPrinted>
  <dcterms:created xsi:type="dcterms:W3CDTF">2020-07-22T09:28:00Z</dcterms:created>
  <dcterms:modified xsi:type="dcterms:W3CDTF">2020-07-23T11:51:00Z</dcterms:modified>
</cp:coreProperties>
</file>