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E962A5" w:rsidP="002D5E17">
      <w:pPr>
        <w:pStyle w:val="Titolo1"/>
      </w:pPr>
      <w:r w:rsidRPr="00165DC7">
        <w:t>Economia dello sviluppo: profili analitici</w:t>
      </w:r>
    </w:p>
    <w:p w:rsidR="00E962A5" w:rsidRPr="00165DC7" w:rsidRDefault="00E962A5" w:rsidP="00E962A5">
      <w:pPr>
        <w:tabs>
          <w:tab w:val="clear" w:pos="284"/>
        </w:tabs>
        <w:outlineLvl w:val="1"/>
        <w:rPr>
          <w:rFonts w:ascii="Times" w:hAnsi="Times"/>
          <w:smallCaps/>
          <w:noProof/>
          <w:sz w:val="18"/>
          <w:szCs w:val="20"/>
        </w:rPr>
      </w:pPr>
      <w:r w:rsidRPr="00165DC7">
        <w:rPr>
          <w:rFonts w:ascii="Times" w:hAnsi="Times"/>
          <w:smallCaps/>
          <w:noProof/>
          <w:sz w:val="18"/>
          <w:szCs w:val="20"/>
        </w:rPr>
        <w:t>Prof. Fausta Pellizzari</w:t>
      </w:r>
    </w:p>
    <w:p w:rsidR="00E962A5" w:rsidRDefault="00E962A5" w:rsidP="00E962A5">
      <w:pPr>
        <w:spacing w:before="240" w:after="120"/>
        <w:rPr>
          <w:b/>
          <w:sz w:val="18"/>
        </w:rPr>
      </w:pPr>
      <w:r>
        <w:rPr>
          <w:b/>
          <w:i/>
          <w:sz w:val="18"/>
        </w:rPr>
        <w:t>OBIETTIVO DEL CORSO E RISULTATI DI APPRENDIMENTO ATTESI</w:t>
      </w:r>
    </w:p>
    <w:p w:rsidR="00E962A5" w:rsidRDefault="00E962A5" w:rsidP="00E962A5">
      <w:pPr>
        <w:tabs>
          <w:tab w:val="clear" w:pos="284"/>
        </w:tabs>
        <w:rPr>
          <w:rFonts w:eastAsia="MS Mincho"/>
        </w:rPr>
      </w:pPr>
      <w:r w:rsidRPr="00165DC7">
        <w:rPr>
          <w:rFonts w:eastAsia="MS Mincho"/>
        </w:rPr>
        <w:t xml:space="preserve">Il corso </w:t>
      </w:r>
      <w:r>
        <w:rPr>
          <w:rFonts w:eastAsia="MS Mincho"/>
        </w:rPr>
        <w:t>si propone di introdurre all’analisi del processo di sviluppo economico con l’obiettivo di conoscere</w:t>
      </w:r>
      <w:r w:rsidRPr="0001017D">
        <w:rPr>
          <w:rFonts w:eastAsia="MS Mincho"/>
        </w:rPr>
        <w:t xml:space="preserve"> </w:t>
      </w:r>
      <w:r w:rsidRPr="00165DC7">
        <w:rPr>
          <w:rFonts w:eastAsia="MS Mincho"/>
        </w:rPr>
        <w:t>l’evoluzione del modo di intendere e sostenere lo sviluppo</w:t>
      </w:r>
      <w:r>
        <w:rPr>
          <w:rFonts w:eastAsia="MS Mincho"/>
        </w:rPr>
        <w:t xml:space="preserve">, di misurare l’efficacia delle politiche implementate attraverso </w:t>
      </w:r>
      <w:r w:rsidRPr="00165DC7">
        <w:rPr>
          <w:rFonts w:eastAsia="MS Mincho"/>
        </w:rPr>
        <w:t xml:space="preserve">indicatori </w:t>
      </w:r>
      <w:r>
        <w:rPr>
          <w:rFonts w:eastAsia="MS Mincho"/>
        </w:rPr>
        <w:t>idonei ad u</w:t>
      </w:r>
      <w:r w:rsidRPr="00165DC7">
        <w:rPr>
          <w:rFonts w:eastAsia="MS Mincho"/>
        </w:rPr>
        <w:t>na valutazione di diverse dimensioni dello sviluppo stesso</w:t>
      </w:r>
      <w:r w:rsidR="001030E6">
        <w:rPr>
          <w:rFonts w:eastAsia="MS Mincho"/>
        </w:rPr>
        <w:t>, di comprendere il</w:t>
      </w:r>
      <w:r>
        <w:rPr>
          <w:rFonts w:eastAsia="MS Mincho"/>
        </w:rPr>
        <w:t xml:space="preserve"> ruolo di alcuni </w:t>
      </w:r>
      <w:r w:rsidRPr="00165DC7">
        <w:rPr>
          <w:rFonts w:eastAsia="MS Mincho"/>
        </w:rPr>
        <w:t xml:space="preserve">fattori economici, sociali, politici ed istituzionali </w:t>
      </w:r>
      <w:r>
        <w:rPr>
          <w:rFonts w:eastAsia="MS Mincho"/>
        </w:rPr>
        <w:t>nel</w:t>
      </w:r>
      <w:r w:rsidRPr="00165DC7">
        <w:rPr>
          <w:rFonts w:eastAsia="MS Mincho"/>
        </w:rPr>
        <w:t xml:space="preserve"> favorire od ostacolare il processo di sviluppo </w:t>
      </w:r>
      <w:r>
        <w:rPr>
          <w:rFonts w:eastAsia="MS Mincho"/>
        </w:rPr>
        <w:t xml:space="preserve">e di approfondire la comprensione del processo di </w:t>
      </w:r>
      <w:r w:rsidRPr="00165DC7">
        <w:rPr>
          <w:rFonts w:eastAsia="MS Mincho"/>
        </w:rPr>
        <w:t xml:space="preserve">sviluppo e delle politiche rivolte alla sua promozione </w:t>
      </w:r>
      <w:r>
        <w:rPr>
          <w:rFonts w:eastAsia="MS Mincho"/>
        </w:rPr>
        <w:t xml:space="preserve">grazie </w:t>
      </w:r>
      <w:r w:rsidRPr="00165DC7">
        <w:rPr>
          <w:rFonts w:eastAsia="MS Mincho"/>
        </w:rPr>
        <w:t xml:space="preserve">all’analisi dei contributi </w:t>
      </w:r>
      <w:r>
        <w:rPr>
          <w:rFonts w:eastAsia="MS Mincho"/>
        </w:rPr>
        <w:t>inerenti la crescita e lo</w:t>
      </w:r>
      <w:r w:rsidRPr="00165DC7">
        <w:rPr>
          <w:rFonts w:eastAsia="MS Mincho"/>
        </w:rPr>
        <w:t xml:space="preserve"> sviluppo di alcuni grandi economisti</w:t>
      </w:r>
      <w:r>
        <w:rPr>
          <w:rFonts w:eastAsia="MS Mincho"/>
        </w:rPr>
        <w:t>. Per queste finalità il corso è</w:t>
      </w:r>
      <w:r w:rsidRPr="00165DC7">
        <w:rPr>
          <w:rFonts w:eastAsia="MS Mincho"/>
        </w:rPr>
        <w:t xml:space="preserve"> formalmente distinto di due parti. Nella prima si approfondisce il concetto di sviluppo, </w:t>
      </w:r>
      <w:r>
        <w:rPr>
          <w:rFonts w:eastAsia="MS Mincho"/>
        </w:rPr>
        <w:t xml:space="preserve">anche </w:t>
      </w:r>
      <w:r w:rsidRPr="00165DC7">
        <w:rPr>
          <w:rFonts w:eastAsia="MS Mincho"/>
        </w:rPr>
        <w:t>analizzando l’operato delle istituzioni internazionali create per promuovere lo sviluppo. Si considera successivamente il problema della misurazione dello sviluppo</w:t>
      </w:r>
      <w:r>
        <w:rPr>
          <w:rFonts w:eastAsia="MS Mincho"/>
        </w:rPr>
        <w:t xml:space="preserve"> e di come il processo di sviluppo possa essere condizionato da diversi fattori</w:t>
      </w:r>
      <w:r w:rsidR="004A4349">
        <w:rPr>
          <w:rFonts w:eastAsia="MS Mincho"/>
        </w:rPr>
        <w:t>,</w:t>
      </w:r>
      <w:r>
        <w:rPr>
          <w:rFonts w:eastAsia="MS Mincho"/>
        </w:rPr>
        <w:t xml:space="preserve"> analizzando in particolare il ruolo di risparmi, investimenti, commercio internazionale, debito estero, cooperazione e aiuti allo sviluppo, dinamica demografica e qualità del capitale umano.</w:t>
      </w:r>
    </w:p>
    <w:p w:rsidR="00E962A5" w:rsidRDefault="00E962A5" w:rsidP="00E962A5">
      <w:pPr>
        <w:tabs>
          <w:tab w:val="clear" w:pos="284"/>
        </w:tabs>
        <w:rPr>
          <w:rFonts w:eastAsia="MS Mincho"/>
        </w:rPr>
      </w:pPr>
      <w:r w:rsidRPr="00165DC7">
        <w:rPr>
          <w:rFonts w:eastAsia="MS Mincho"/>
        </w:rPr>
        <w:t xml:space="preserve">La seconda parte del corso è </w:t>
      </w:r>
      <w:r>
        <w:rPr>
          <w:rFonts w:eastAsia="MS Mincho"/>
        </w:rPr>
        <w:t xml:space="preserve">dedicata all’analisi di diversi modelli di sviluppo sottolineando le diversità delle ipotesi formulate, le tesi sostenute e le conseguenti politiche; lo scopo è favorire </w:t>
      </w:r>
      <w:r w:rsidRPr="00165DC7">
        <w:rPr>
          <w:rFonts w:eastAsia="MS Mincho"/>
        </w:rPr>
        <w:t>la comprensione del processo di</w:t>
      </w:r>
      <w:r>
        <w:rPr>
          <w:rFonts w:eastAsia="MS Mincho"/>
        </w:rPr>
        <w:t xml:space="preserve"> sviluppo cercando anche di sviluppare capacità di giudizio critico e autonomo</w:t>
      </w:r>
      <w:r w:rsidRPr="00165DC7">
        <w:rPr>
          <w:rFonts w:eastAsia="MS Mincho"/>
        </w:rPr>
        <w:t>.</w:t>
      </w:r>
    </w:p>
    <w:p w:rsidR="00E962A5" w:rsidRPr="00E962A5" w:rsidRDefault="00E962A5" w:rsidP="00E962A5">
      <w:pPr>
        <w:spacing w:before="120"/>
        <w:rPr>
          <w:i/>
        </w:rPr>
      </w:pPr>
      <w:r>
        <w:rPr>
          <w:i/>
        </w:rPr>
        <w:t>C</w:t>
      </w:r>
      <w:r w:rsidRPr="00E962A5">
        <w:rPr>
          <w:i/>
        </w:rPr>
        <w:t>onoscenza e comprensione</w:t>
      </w:r>
    </w:p>
    <w:p w:rsidR="00E962A5" w:rsidRDefault="00E962A5" w:rsidP="00E962A5">
      <w:pPr>
        <w:tabs>
          <w:tab w:val="clear" w:pos="284"/>
        </w:tabs>
        <w:rPr>
          <w:rFonts w:eastAsia="MS Mincho"/>
        </w:rPr>
      </w:pPr>
      <w:r>
        <w:rPr>
          <w:rFonts w:eastAsia="MS Mincho"/>
        </w:rPr>
        <w:t xml:space="preserve">Al termine del corso gli studenti devono essere in grado di </w:t>
      </w:r>
      <w:r w:rsidRPr="00EB74F6">
        <w:rPr>
          <w:rFonts w:eastAsia="MS Mincho"/>
        </w:rPr>
        <w:t xml:space="preserve">leggere </w:t>
      </w:r>
      <w:r>
        <w:rPr>
          <w:rFonts w:eastAsia="MS Mincho"/>
        </w:rPr>
        <w:t xml:space="preserve">ed analizzare </w:t>
      </w:r>
      <w:r w:rsidRPr="00EB74F6">
        <w:rPr>
          <w:rFonts w:eastAsia="MS Mincho"/>
        </w:rPr>
        <w:t>i principali indicatori di sviluppo, conoscere e comprendere i modelli teorici presentati</w:t>
      </w:r>
      <w:r>
        <w:rPr>
          <w:rFonts w:eastAsia="MS Mincho"/>
        </w:rPr>
        <w:t>,</w:t>
      </w:r>
      <w:r w:rsidRPr="00EB74F6">
        <w:rPr>
          <w:rFonts w:eastAsia="MS Mincho"/>
        </w:rPr>
        <w:t xml:space="preserve"> </w:t>
      </w:r>
      <w:r>
        <w:rPr>
          <w:rFonts w:eastAsia="MS Mincho"/>
        </w:rPr>
        <w:t xml:space="preserve">saper valutare le conseguenze di determinate politiche sulla </w:t>
      </w:r>
      <w:r w:rsidRPr="00EB74F6">
        <w:rPr>
          <w:rFonts w:eastAsia="MS Mincho"/>
        </w:rPr>
        <w:t>promozione dello sviluppo</w:t>
      </w:r>
      <w:r>
        <w:rPr>
          <w:rFonts w:eastAsia="MS Mincho"/>
        </w:rPr>
        <w:t>.</w:t>
      </w:r>
    </w:p>
    <w:p w:rsidR="00E962A5" w:rsidRPr="00E962A5" w:rsidRDefault="00E962A5" w:rsidP="00E962A5">
      <w:pPr>
        <w:rPr>
          <w:i/>
        </w:rPr>
      </w:pPr>
      <w:r>
        <w:rPr>
          <w:i/>
        </w:rPr>
        <w:t>Capacità</w:t>
      </w:r>
      <w:r w:rsidRPr="00E962A5">
        <w:rPr>
          <w:i/>
        </w:rPr>
        <w:t xml:space="preserve"> di applicare conoscenza e comprensione</w:t>
      </w:r>
    </w:p>
    <w:p w:rsidR="00E962A5" w:rsidRDefault="00E962A5" w:rsidP="00E962A5">
      <w:pPr>
        <w:tabs>
          <w:tab w:val="clear" w:pos="284"/>
        </w:tabs>
        <w:rPr>
          <w:rFonts w:eastAsia="MS Mincho"/>
        </w:rPr>
      </w:pPr>
      <w:r w:rsidRPr="00C82170">
        <w:rPr>
          <w:rFonts w:eastAsia="MS Mincho"/>
        </w:rPr>
        <w:t>La conoscenza degli strumenti di analisi economica dello</w:t>
      </w:r>
      <w:r>
        <w:rPr>
          <w:rFonts w:eastAsia="MS Mincho"/>
        </w:rPr>
        <w:t xml:space="preserve"> </w:t>
      </w:r>
      <w:r w:rsidRPr="00C82170">
        <w:rPr>
          <w:rFonts w:eastAsia="MS Mincho"/>
        </w:rPr>
        <w:t xml:space="preserve">sviluppo </w:t>
      </w:r>
      <w:r>
        <w:rPr>
          <w:rFonts w:eastAsia="MS Mincho"/>
        </w:rPr>
        <w:t xml:space="preserve">permette di approfondire il significato di </w:t>
      </w:r>
      <w:r w:rsidRPr="00C82170">
        <w:rPr>
          <w:rFonts w:eastAsia="MS Mincho"/>
        </w:rPr>
        <w:t>sviluppo</w:t>
      </w:r>
      <w:r>
        <w:rPr>
          <w:rFonts w:eastAsia="MS Mincho"/>
        </w:rPr>
        <w:t xml:space="preserve">, comprendere alcune </w:t>
      </w:r>
      <w:r w:rsidRPr="00C82170">
        <w:rPr>
          <w:rFonts w:eastAsia="MS Mincho"/>
        </w:rPr>
        <w:t>cause del sottos</w:t>
      </w:r>
      <w:r>
        <w:rPr>
          <w:rFonts w:eastAsia="MS Mincho"/>
        </w:rPr>
        <w:t>viluppo e</w:t>
      </w:r>
      <w:r w:rsidRPr="00C82170">
        <w:rPr>
          <w:rFonts w:eastAsia="MS Mincho"/>
        </w:rPr>
        <w:t xml:space="preserve"> affrontare </w:t>
      </w:r>
      <w:r>
        <w:rPr>
          <w:rFonts w:eastAsia="MS Mincho"/>
        </w:rPr>
        <w:t>alcune</w:t>
      </w:r>
      <w:r w:rsidRPr="00C82170">
        <w:rPr>
          <w:rFonts w:eastAsia="MS Mincho"/>
        </w:rPr>
        <w:t xml:space="preserve"> questioni rilevanti in tema di sviluppo economico e cooperazione internazionale, con particolare riferimento </w:t>
      </w:r>
      <w:r>
        <w:rPr>
          <w:rFonts w:eastAsia="MS Mincho"/>
        </w:rPr>
        <w:t xml:space="preserve">alla relazione tra crescita economica, sviluppo economico e sviluppo umano, </w:t>
      </w:r>
      <w:r w:rsidRPr="00C82170">
        <w:rPr>
          <w:rFonts w:eastAsia="MS Mincho"/>
        </w:rPr>
        <w:t>alle differenze esistenti nei livelli di sviluppo</w:t>
      </w:r>
      <w:r>
        <w:rPr>
          <w:rFonts w:eastAsia="MS Mincho"/>
        </w:rPr>
        <w:t xml:space="preserve"> e alle politiche per promuoverlo.</w:t>
      </w:r>
    </w:p>
    <w:p w:rsidR="004A4349" w:rsidRDefault="004A4349" w:rsidP="00E962A5">
      <w:pPr>
        <w:tabs>
          <w:tab w:val="clear" w:pos="284"/>
        </w:tabs>
        <w:rPr>
          <w:i/>
        </w:rPr>
      </w:pPr>
    </w:p>
    <w:p w:rsidR="004A4349" w:rsidRDefault="004A4349" w:rsidP="00E962A5">
      <w:pPr>
        <w:tabs>
          <w:tab w:val="clear" w:pos="284"/>
        </w:tabs>
        <w:rPr>
          <w:i/>
        </w:rPr>
      </w:pPr>
    </w:p>
    <w:p w:rsidR="00E962A5" w:rsidRPr="00E962A5" w:rsidRDefault="00E962A5" w:rsidP="00E962A5">
      <w:pPr>
        <w:tabs>
          <w:tab w:val="clear" w:pos="284"/>
        </w:tabs>
        <w:rPr>
          <w:i/>
        </w:rPr>
      </w:pPr>
      <w:r>
        <w:rPr>
          <w:i/>
        </w:rPr>
        <w:lastRenderedPageBreak/>
        <w:t>Autonomia di giudizio, abilità comunicative, capacità</w:t>
      </w:r>
      <w:r w:rsidRPr="00E962A5">
        <w:rPr>
          <w:i/>
        </w:rPr>
        <w:t xml:space="preserve"> di apprendimento</w:t>
      </w:r>
    </w:p>
    <w:p w:rsidR="00E962A5" w:rsidRDefault="00E962A5" w:rsidP="00E962A5">
      <w:pPr>
        <w:tabs>
          <w:tab w:val="clear" w:pos="284"/>
        </w:tabs>
        <w:rPr>
          <w:rFonts w:eastAsia="MS Mincho"/>
        </w:rPr>
      </w:pPr>
      <w:r>
        <w:rPr>
          <w:rFonts w:eastAsia="MS Mincho"/>
        </w:rPr>
        <w:t>Il confronto tra diverse e teorie e politiche stimola un pensiero critico e la capacità di giudizio autonomo. L’acquisizione delle precedenti competenze permette agli studenti di approfondire anche autonomamente o in corsi più avanzati quanto appreso e di trasmettere anche ad altri le conoscenze acquis</w:t>
      </w:r>
      <w:r w:rsidR="001030E6">
        <w:rPr>
          <w:rFonts w:eastAsia="MS Mincho"/>
        </w:rPr>
        <w:t>ite.</w:t>
      </w:r>
    </w:p>
    <w:p w:rsidR="00E962A5" w:rsidRDefault="00E962A5" w:rsidP="00E962A5">
      <w:pPr>
        <w:spacing w:before="240" w:after="120"/>
        <w:rPr>
          <w:b/>
          <w:sz w:val="18"/>
        </w:rPr>
      </w:pPr>
      <w:r>
        <w:rPr>
          <w:b/>
          <w:i/>
          <w:sz w:val="18"/>
        </w:rPr>
        <w:t>PROGRAMMA DEL CORSO</w:t>
      </w:r>
    </w:p>
    <w:p w:rsidR="00E962A5" w:rsidRPr="00165DC7" w:rsidRDefault="00E962A5" w:rsidP="00E962A5">
      <w:pPr>
        <w:tabs>
          <w:tab w:val="clear" w:pos="284"/>
        </w:tabs>
        <w:rPr>
          <w:rFonts w:eastAsia="MS Mincho"/>
          <w:smallCaps/>
          <w:sz w:val="18"/>
          <w:szCs w:val="18"/>
        </w:rPr>
      </w:pPr>
      <w:r w:rsidRPr="00165DC7">
        <w:rPr>
          <w:rFonts w:eastAsia="MS Mincho"/>
          <w:smallCaps/>
          <w:sz w:val="18"/>
          <w:szCs w:val="18"/>
        </w:rPr>
        <w:t>Prima parte</w:t>
      </w:r>
    </w:p>
    <w:p w:rsidR="00E962A5" w:rsidRPr="00165DC7" w:rsidRDefault="00E962A5" w:rsidP="00E962A5">
      <w:pPr>
        <w:tabs>
          <w:tab w:val="clear" w:pos="284"/>
        </w:tabs>
        <w:rPr>
          <w:rFonts w:eastAsia="MS Mincho"/>
        </w:rPr>
      </w:pPr>
      <w:r w:rsidRPr="00165DC7">
        <w:rPr>
          <w:rFonts w:eastAsia="MS Mincho"/>
        </w:rPr>
        <w:t>Le Istituzioni internazionali per lo sviluppo.</w:t>
      </w:r>
    </w:p>
    <w:p w:rsidR="00E962A5" w:rsidRPr="00165DC7" w:rsidRDefault="00E962A5" w:rsidP="00E962A5">
      <w:pPr>
        <w:tabs>
          <w:tab w:val="clear" w:pos="284"/>
        </w:tabs>
        <w:rPr>
          <w:rFonts w:eastAsia="MS Mincho"/>
        </w:rPr>
      </w:pPr>
      <w:r w:rsidRPr="00165DC7">
        <w:rPr>
          <w:rFonts w:eastAsia="MS Mincho"/>
        </w:rPr>
        <w:t xml:space="preserve">Crescita, sviluppo economico, sviluppo umano e sostenibile. </w:t>
      </w:r>
    </w:p>
    <w:p w:rsidR="00E962A5" w:rsidRPr="00165DC7" w:rsidRDefault="00E962A5" w:rsidP="00E962A5">
      <w:pPr>
        <w:tabs>
          <w:tab w:val="clear" w:pos="284"/>
        </w:tabs>
        <w:rPr>
          <w:rFonts w:eastAsia="MS Mincho"/>
        </w:rPr>
      </w:pPr>
      <w:r w:rsidRPr="00165DC7">
        <w:rPr>
          <w:rFonts w:eastAsia="MS Mincho"/>
        </w:rPr>
        <w:t>I rapporti sullo sviluppo umano, gli obiettivi di sviluppo del millennio e gli obiettivi di sviluppo sostenibile.</w:t>
      </w:r>
    </w:p>
    <w:p w:rsidR="00E962A5" w:rsidRPr="00165DC7" w:rsidRDefault="00E962A5" w:rsidP="00E962A5">
      <w:pPr>
        <w:tabs>
          <w:tab w:val="clear" w:pos="284"/>
        </w:tabs>
        <w:rPr>
          <w:rFonts w:eastAsia="MS Mincho"/>
        </w:rPr>
      </w:pPr>
      <w:r w:rsidRPr="00165DC7">
        <w:rPr>
          <w:rFonts w:eastAsia="MS Mincho"/>
        </w:rPr>
        <w:t>La misurazione della crescita, dello sviluppo, della povertà, della diseguaglianza.</w:t>
      </w:r>
    </w:p>
    <w:p w:rsidR="00E962A5" w:rsidRPr="00165DC7" w:rsidRDefault="00E962A5" w:rsidP="00E962A5">
      <w:pPr>
        <w:tabs>
          <w:tab w:val="clear" w:pos="284"/>
        </w:tabs>
        <w:rPr>
          <w:rFonts w:eastAsia="MS Mincho"/>
        </w:rPr>
      </w:pPr>
      <w:r w:rsidRPr="00165DC7">
        <w:rPr>
          <w:rFonts w:eastAsia="MS Mincho"/>
        </w:rPr>
        <w:t>Gli indici di sviluppo umano e di povertà multidimensionale.</w:t>
      </w:r>
    </w:p>
    <w:p w:rsidR="00E962A5" w:rsidRPr="00165DC7" w:rsidRDefault="00E962A5" w:rsidP="00E962A5">
      <w:pPr>
        <w:tabs>
          <w:tab w:val="clear" w:pos="284"/>
        </w:tabs>
        <w:rPr>
          <w:rFonts w:eastAsia="MS Mincho"/>
        </w:rPr>
      </w:pPr>
      <w:r w:rsidRPr="00165DC7">
        <w:rPr>
          <w:rFonts w:eastAsia="MS Mincho"/>
        </w:rPr>
        <w:t>Risparmio e sviluppo.</w:t>
      </w:r>
    </w:p>
    <w:p w:rsidR="00E962A5" w:rsidRPr="00165DC7" w:rsidRDefault="00E962A5" w:rsidP="00E962A5">
      <w:pPr>
        <w:tabs>
          <w:tab w:val="clear" w:pos="284"/>
        </w:tabs>
        <w:rPr>
          <w:rFonts w:eastAsia="MS Mincho"/>
        </w:rPr>
      </w:pPr>
      <w:r w:rsidRPr="00165DC7">
        <w:rPr>
          <w:rFonts w:eastAsia="MS Mincho"/>
        </w:rPr>
        <w:t>Debito estero, aiuti e cooperazione internazionale.</w:t>
      </w:r>
    </w:p>
    <w:p w:rsidR="00E962A5" w:rsidRPr="00165DC7" w:rsidRDefault="00E962A5" w:rsidP="00E962A5">
      <w:pPr>
        <w:tabs>
          <w:tab w:val="clear" w:pos="284"/>
        </w:tabs>
        <w:rPr>
          <w:rFonts w:eastAsia="MS Mincho"/>
        </w:rPr>
      </w:pPr>
      <w:r w:rsidRPr="00165DC7">
        <w:rPr>
          <w:rFonts w:eastAsia="MS Mincho"/>
        </w:rPr>
        <w:t>Popolazione e sviluppo.</w:t>
      </w:r>
    </w:p>
    <w:p w:rsidR="00E962A5" w:rsidRPr="00165DC7" w:rsidRDefault="00E962A5" w:rsidP="00E962A5">
      <w:pPr>
        <w:tabs>
          <w:tab w:val="clear" w:pos="284"/>
        </w:tabs>
        <w:spacing w:before="120"/>
        <w:rPr>
          <w:rFonts w:eastAsia="MS Mincho"/>
          <w:smallCaps/>
          <w:sz w:val="18"/>
          <w:szCs w:val="18"/>
        </w:rPr>
      </w:pPr>
      <w:r w:rsidRPr="00165DC7">
        <w:rPr>
          <w:rFonts w:eastAsia="MS Mincho"/>
          <w:smallCaps/>
          <w:sz w:val="18"/>
          <w:szCs w:val="18"/>
        </w:rPr>
        <w:t>Seconda parte</w:t>
      </w:r>
    </w:p>
    <w:p w:rsidR="00E962A5" w:rsidRDefault="00E962A5" w:rsidP="00E962A5">
      <w:pPr>
        <w:rPr>
          <w:rFonts w:eastAsia="MS Mincho"/>
        </w:rPr>
      </w:pPr>
      <w:r w:rsidRPr="00165DC7">
        <w:rPr>
          <w:rFonts w:eastAsia="MS Mincho"/>
        </w:rPr>
        <w:t>Teorie della crescita e dello sviluppo economico: i Mercantilisti, i Fisiocratici, A. Smith, T. Malthus, D. Ricardo, K. Marx, J Schumpeter, R. Harrod, E. Domar, N. Kaldor, L. Pasinetti, R. Solow, R. Nelson, W. Rostow, A. Lewis, le teorie della dipendenza, le teorie della crescita endogena.</w:t>
      </w:r>
    </w:p>
    <w:p w:rsidR="00E962A5" w:rsidRPr="001030E6" w:rsidRDefault="00E962A5" w:rsidP="001030E6">
      <w:pPr>
        <w:spacing w:before="240" w:after="120"/>
        <w:rPr>
          <w:b/>
          <w:i/>
          <w:sz w:val="18"/>
        </w:rPr>
      </w:pPr>
      <w:r>
        <w:rPr>
          <w:b/>
          <w:i/>
          <w:sz w:val="18"/>
        </w:rPr>
        <w:t>BIBLIOGRAFIA</w:t>
      </w:r>
      <w:r w:rsidR="00A67686">
        <w:rPr>
          <w:rStyle w:val="Rimandonotaapidipagina"/>
          <w:b/>
          <w:i/>
          <w:sz w:val="18"/>
        </w:rPr>
        <w:footnoteReference w:id="1"/>
      </w:r>
    </w:p>
    <w:p w:rsidR="00E962A5" w:rsidRDefault="00E962A5" w:rsidP="00E962A5">
      <w:pPr>
        <w:pStyle w:val="Testo1"/>
      </w:pPr>
      <w:r w:rsidRPr="00165DC7">
        <w:t>Le indicazioni bibliografiche saranno date durante il corso e pubblicate in Blackboard dove s</w:t>
      </w:r>
      <w:r>
        <w:t>aranno</w:t>
      </w:r>
      <w:r w:rsidRPr="00165DC7">
        <w:t xml:space="preserve"> disponibili schemi articolati delle lezioni ed i grafici presentati durante le stesse. Le slide </w:t>
      </w:r>
      <w:r>
        <w:t>costituiscono un importante riferimento per tutti gli studenti e sono</w:t>
      </w:r>
      <w:r w:rsidRPr="00165DC7">
        <w:t xml:space="preserve"> integrate durante le lezioni da spiegazioni ed approfondimenti. Contengono inoltre </w:t>
      </w:r>
      <w:r>
        <w:t>numerosi</w:t>
      </w:r>
      <w:r w:rsidRPr="00165DC7">
        <w:t xml:space="preserve"> </w:t>
      </w:r>
      <w:r>
        <w:t>link</w:t>
      </w:r>
      <w:r w:rsidRPr="00165DC7">
        <w:t xml:space="preserve"> a materiale disponibile in rete. </w:t>
      </w:r>
    </w:p>
    <w:p w:rsidR="00E962A5" w:rsidRPr="00165DC7" w:rsidRDefault="00E962A5" w:rsidP="00E962A5">
      <w:pPr>
        <w:pStyle w:val="Testo1"/>
      </w:pPr>
      <w:r>
        <w:t>I riferimenti bibliografici che verranno pubblicati sono utili per completare ed approfondire le conoscenze e quindi servono a tutti gli studenti, ma in particolare a coloro che non dispongono delle integrazioni discusse durante le lezioni</w:t>
      </w:r>
      <w:r w:rsidRPr="00165DC7">
        <w:t>.</w:t>
      </w:r>
    </w:p>
    <w:p w:rsidR="00E962A5" w:rsidRDefault="00E962A5" w:rsidP="00E962A5">
      <w:pPr>
        <w:spacing w:before="240" w:after="120" w:line="220" w:lineRule="exact"/>
        <w:rPr>
          <w:b/>
          <w:i/>
          <w:sz w:val="18"/>
        </w:rPr>
      </w:pPr>
      <w:r>
        <w:rPr>
          <w:b/>
          <w:i/>
          <w:sz w:val="18"/>
        </w:rPr>
        <w:t>DIDATTICA DEL CORSO</w:t>
      </w:r>
    </w:p>
    <w:p w:rsidR="00E962A5" w:rsidRPr="00165DC7" w:rsidRDefault="00E962A5" w:rsidP="00E962A5">
      <w:pPr>
        <w:pStyle w:val="Testo2"/>
      </w:pPr>
      <w:r w:rsidRPr="00165DC7">
        <w:lastRenderedPageBreak/>
        <w:t>Lezioni in aula. Slide in Blackboard. Possibilità di approfondire, singolarmente o in gruppo, temi inerenti gli argomenti del corso per elaborare presentazioni da discutere in aula.</w:t>
      </w:r>
    </w:p>
    <w:p w:rsidR="004A4349" w:rsidRDefault="004A4349" w:rsidP="00E962A5">
      <w:pPr>
        <w:spacing w:before="240" w:after="120" w:line="220" w:lineRule="exact"/>
        <w:rPr>
          <w:b/>
          <w:i/>
          <w:sz w:val="18"/>
        </w:rPr>
      </w:pPr>
    </w:p>
    <w:p w:rsidR="00E962A5" w:rsidRDefault="00E962A5" w:rsidP="00E962A5">
      <w:pPr>
        <w:spacing w:before="240" w:after="120" w:line="220" w:lineRule="exact"/>
        <w:rPr>
          <w:b/>
          <w:i/>
          <w:sz w:val="18"/>
        </w:rPr>
      </w:pPr>
      <w:r>
        <w:rPr>
          <w:b/>
          <w:i/>
          <w:sz w:val="18"/>
        </w:rPr>
        <w:t>METODO E CRITERI DI VALUTAZIONE</w:t>
      </w:r>
    </w:p>
    <w:p w:rsidR="00E962A5" w:rsidRPr="00165DC7" w:rsidRDefault="00E962A5" w:rsidP="00E962A5">
      <w:pPr>
        <w:pStyle w:val="Testo2"/>
      </w:pPr>
      <w:r w:rsidRPr="00165DC7">
        <w:t xml:space="preserve">La valutazione è effettuata in base alla capacità di saper esporre compiutamente </w:t>
      </w:r>
      <w:r>
        <w:t xml:space="preserve">gli argomenti discussi durante il corso </w:t>
      </w:r>
      <w:r w:rsidRPr="00165DC7">
        <w:t xml:space="preserve">e di saper utilizzare i metodi e gli strumenti presentati per </w:t>
      </w:r>
      <w:r>
        <w:t>analizzare</w:t>
      </w:r>
      <w:r w:rsidRPr="00165DC7">
        <w:t xml:space="preserve"> differenti problematiche di sviluppo. L</w:t>
      </w:r>
      <w:r>
        <w:t>’</w:t>
      </w:r>
      <w:r w:rsidRPr="00165DC7">
        <w:t>accertamento dell’apprendimento avviene attraverso prove intermedie ed esami finali in forma orale. La prova intermedia, prevista durante il periodo di sospensione delle lezioni al termine dello svolgimento della prima parte del corso, è facoltativa, ma consente di avere una valutazione in itinere e, se necessario, di concordare un percorso di recupero. Il superamento della prova intermedia permette agli studenti di sostenere l’esame finale solo sugli argomenti trattati nella seconda parte del corso.</w:t>
      </w:r>
    </w:p>
    <w:p w:rsidR="00E962A5" w:rsidRDefault="00E962A5" w:rsidP="00E962A5">
      <w:pPr>
        <w:spacing w:before="240" w:after="120"/>
        <w:rPr>
          <w:b/>
          <w:i/>
          <w:sz w:val="18"/>
        </w:rPr>
      </w:pPr>
      <w:r>
        <w:rPr>
          <w:b/>
          <w:i/>
          <w:sz w:val="18"/>
        </w:rPr>
        <w:t>AVVERTENZE E PREREQUISITI</w:t>
      </w:r>
    </w:p>
    <w:p w:rsidR="00E962A5" w:rsidRPr="00165DC7" w:rsidRDefault="00E962A5" w:rsidP="00E962A5">
      <w:pPr>
        <w:pStyle w:val="Testo2"/>
        <w:spacing w:after="120"/>
        <w:rPr>
          <w:rFonts w:eastAsia="MS Mincho"/>
        </w:rPr>
      </w:pPr>
      <w:r>
        <w:t>Blackboard è la piattaforma online di comunicazione e interazione tra docenti e studenti.</w:t>
      </w:r>
    </w:p>
    <w:p w:rsidR="00E962A5" w:rsidRPr="00E962A5" w:rsidRDefault="00E962A5" w:rsidP="00E962A5">
      <w:pPr>
        <w:pStyle w:val="Testo2"/>
        <w:rPr>
          <w:rFonts w:eastAsia="MS Mincho"/>
          <w:i/>
        </w:rPr>
      </w:pPr>
      <w:r w:rsidRPr="00E962A5">
        <w:rPr>
          <w:rFonts w:eastAsia="MS Mincho"/>
          <w:i/>
        </w:rPr>
        <w:t>Prerequisiti</w:t>
      </w:r>
    </w:p>
    <w:p w:rsidR="00E962A5" w:rsidRDefault="00E962A5" w:rsidP="00E962A5">
      <w:pPr>
        <w:pStyle w:val="Testo2"/>
        <w:spacing w:after="120"/>
        <w:rPr>
          <w:rFonts w:eastAsia="MS Mincho"/>
        </w:rPr>
      </w:pPr>
      <w:r w:rsidRPr="00165DC7">
        <w:rPr>
          <w:rFonts w:eastAsia="MS Mincho"/>
        </w:rPr>
        <w:t>Superamento dell’esame di Istituzioni di economia politica.</w:t>
      </w:r>
    </w:p>
    <w:p w:rsidR="00E1280C" w:rsidRPr="00165DC7" w:rsidRDefault="001A0CDA" w:rsidP="001A0CDA">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r w:rsidR="00E1280C">
        <w:t>.</w:t>
      </w:r>
    </w:p>
    <w:p w:rsidR="00E962A5" w:rsidRPr="00E962A5" w:rsidRDefault="00E962A5" w:rsidP="00E1280C">
      <w:pPr>
        <w:pStyle w:val="Testo2"/>
        <w:spacing w:before="120"/>
        <w:rPr>
          <w:rFonts w:eastAsia="MS Mincho"/>
          <w:i/>
          <w:sz w:val="20"/>
        </w:rPr>
      </w:pPr>
      <w:r w:rsidRPr="00E962A5">
        <w:rPr>
          <w:rFonts w:eastAsia="MS Mincho"/>
          <w:i/>
        </w:rPr>
        <w:t>Orario e luogo di ricevimento</w:t>
      </w:r>
    </w:p>
    <w:p w:rsidR="00E962A5" w:rsidRDefault="00E962A5" w:rsidP="00E962A5">
      <w:pPr>
        <w:pStyle w:val="Testo2"/>
      </w:pPr>
      <w:r w:rsidRPr="00165DC7">
        <w:t>Il Prof. Fausta Pellizzari riceve gli studenti presso il Dipartimento di Economia Internazionale, delle Istituzioni e dello Sviluppo (i giorni e l’orario saranno indicati all’inizio dell’anno accademico e pubblicati in Blackboard).</w:t>
      </w:r>
    </w:p>
    <w:sectPr w:rsidR="00E962A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86" w:rsidRDefault="00A67686" w:rsidP="00A67686">
      <w:pPr>
        <w:spacing w:line="240" w:lineRule="auto"/>
      </w:pPr>
      <w:r>
        <w:separator/>
      </w:r>
    </w:p>
  </w:endnote>
  <w:endnote w:type="continuationSeparator" w:id="0">
    <w:p w:rsidR="00A67686" w:rsidRDefault="00A67686" w:rsidP="00A67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86" w:rsidRDefault="00A67686" w:rsidP="00A67686">
      <w:pPr>
        <w:spacing w:line="240" w:lineRule="auto"/>
      </w:pPr>
      <w:r>
        <w:separator/>
      </w:r>
    </w:p>
  </w:footnote>
  <w:footnote w:type="continuationSeparator" w:id="0">
    <w:p w:rsidR="00A67686" w:rsidRDefault="00A67686" w:rsidP="00A67686">
      <w:pPr>
        <w:spacing w:line="240" w:lineRule="auto"/>
      </w:pPr>
      <w:r>
        <w:continuationSeparator/>
      </w:r>
    </w:p>
  </w:footnote>
  <w:footnote w:id="1">
    <w:p w:rsidR="00A67686" w:rsidRDefault="00A67686">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2F"/>
    <w:rsid w:val="00056878"/>
    <w:rsid w:val="001030E6"/>
    <w:rsid w:val="00187B99"/>
    <w:rsid w:val="001A0CDA"/>
    <w:rsid w:val="002014DD"/>
    <w:rsid w:val="002D5E17"/>
    <w:rsid w:val="004A4349"/>
    <w:rsid w:val="004D1217"/>
    <w:rsid w:val="004D6008"/>
    <w:rsid w:val="005B772F"/>
    <w:rsid w:val="00640794"/>
    <w:rsid w:val="006F1772"/>
    <w:rsid w:val="008942E7"/>
    <w:rsid w:val="008A1204"/>
    <w:rsid w:val="00900CCA"/>
    <w:rsid w:val="00924B77"/>
    <w:rsid w:val="00940DA2"/>
    <w:rsid w:val="009E055C"/>
    <w:rsid w:val="00A566B2"/>
    <w:rsid w:val="00A67686"/>
    <w:rsid w:val="00A74F6F"/>
    <w:rsid w:val="00AC4312"/>
    <w:rsid w:val="00AD7557"/>
    <w:rsid w:val="00B50C5D"/>
    <w:rsid w:val="00B51253"/>
    <w:rsid w:val="00B525CC"/>
    <w:rsid w:val="00D404F2"/>
    <w:rsid w:val="00E1280C"/>
    <w:rsid w:val="00E32F99"/>
    <w:rsid w:val="00E607E6"/>
    <w:rsid w:val="00E96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2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A67686"/>
    <w:pPr>
      <w:spacing w:line="240" w:lineRule="auto"/>
    </w:pPr>
    <w:rPr>
      <w:szCs w:val="20"/>
    </w:rPr>
  </w:style>
  <w:style w:type="character" w:customStyle="1" w:styleId="TestonotaapidipaginaCarattere">
    <w:name w:val="Testo nota a piè di pagina Carattere"/>
    <w:basedOn w:val="Carpredefinitoparagrafo"/>
    <w:link w:val="Testonotaapidipagina"/>
    <w:rsid w:val="00A67686"/>
  </w:style>
  <w:style w:type="character" w:styleId="Rimandonotaapidipagina">
    <w:name w:val="footnote reference"/>
    <w:basedOn w:val="Carpredefinitoparagrafo"/>
    <w:rsid w:val="00A676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2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A67686"/>
    <w:pPr>
      <w:spacing w:line="240" w:lineRule="auto"/>
    </w:pPr>
    <w:rPr>
      <w:szCs w:val="20"/>
    </w:rPr>
  </w:style>
  <w:style w:type="character" w:customStyle="1" w:styleId="TestonotaapidipaginaCarattere">
    <w:name w:val="Testo nota a piè di pagina Carattere"/>
    <w:basedOn w:val="Carpredefinitoparagrafo"/>
    <w:link w:val="Testonotaapidipagina"/>
    <w:rsid w:val="00A67686"/>
  </w:style>
  <w:style w:type="character" w:styleId="Rimandonotaapidipagina">
    <w:name w:val="footnote reference"/>
    <w:basedOn w:val="Carpredefinitoparagrafo"/>
    <w:rsid w:val="00A67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AE23-3BF6-4DB9-9990-B0ACFE45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834</Words>
  <Characters>5140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2020-04-27T13:28:00Z</dcterms:created>
  <dcterms:modified xsi:type="dcterms:W3CDTF">2020-07-07T05:37:00Z</dcterms:modified>
</cp:coreProperties>
</file>