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A9" w:rsidRPr="00010B32" w:rsidRDefault="00EF0AA9" w:rsidP="00EF0AA9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010B32">
        <w:rPr>
          <w:rFonts w:ascii="Times" w:hAnsi="Times"/>
          <w:b/>
          <w:noProof/>
          <w:szCs w:val="20"/>
        </w:rPr>
        <w:t>Comunicazione delle politiche</w:t>
      </w:r>
    </w:p>
    <w:p w:rsidR="00EF0AA9" w:rsidRDefault="00EF0AA9" w:rsidP="00EF0AA9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010B32">
        <w:rPr>
          <w:rFonts w:ascii="Times" w:hAnsi="Times"/>
          <w:smallCaps/>
          <w:noProof/>
          <w:sz w:val="18"/>
          <w:szCs w:val="20"/>
        </w:rPr>
        <w:t>Prof. Simone Tosoni, Prof. Martino Mazzoleni</w:t>
      </w:r>
    </w:p>
    <w:p w:rsidR="002D5E17" w:rsidRDefault="00EF0AA9" w:rsidP="00EF0A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F0AA9" w:rsidRDefault="00EF0AA9" w:rsidP="00EF0AA9">
      <w:pPr>
        <w:tabs>
          <w:tab w:val="clear" w:pos="284"/>
        </w:tabs>
        <w:spacing w:line="240" w:lineRule="auto"/>
        <w:rPr>
          <w:szCs w:val="20"/>
        </w:rPr>
      </w:pPr>
      <w:r w:rsidRPr="00010B32">
        <w:rPr>
          <w:szCs w:val="20"/>
        </w:rPr>
        <w:t xml:space="preserve">Il corso propone agli studenti un’introduzione al tema della comunicazione delle politiche pubbliche, con particolare riferimento alle nuove tecnologie della comunicazione. Nello specifico, l’obiettivo è quello di permettere agli studenti di sviluppare una comprensione e una capacità di lettura critica del rapporto tra comunicazione e politiche pubbliche, tanto per quanto riguarda le sue potenzialità, quanto i suoi limiti. </w:t>
      </w:r>
    </w:p>
    <w:p w:rsidR="00EF0AA9" w:rsidRPr="00EF0AA9" w:rsidRDefault="00EF0AA9" w:rsidP="00EF0AA9">
      <w:pPr>
        <w:tabs>
          <w:tab w:val="clear" w:pos="284"/>
        </w:tabs>
        <w:spacing w:line="240" w:lineRule="auto"/>
        <w:rPr>
          <w:szCs w:val="20"/>
        </w:rPr>
      </w:pPr>
      <w:r w:rsidRPr="00EF0AA9">
        <w:rPr>
          <w:szCs w:val="20"/>
        </w:rPr>
        <w:t xml:space="preserve">Al termine dell’insegnamento, gli studenti: </w:t>
      </w:r>
    </w:p>
    <w:p w:rsidR="00EF0AA9" w:rsidRPr="0066484F" w:rsidRDefault="00EF0AA9" w:rsidP="0066484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66484F">
        <w:rPr>
          <w:szCs w:val="20"/>
        </w:rPr>
        <w:t xml:space="preserve">conosceranno molteplici interazioni comunicative tra attori di </w:t>
      </w:r>
      <w:r w:rsidRPr="0066484F">
        <w:rPr>
          <w:i/>
          <w:szCs w:val="20"/>
        </w:rPr>
        <w:t xml:space="preserve">policy </w:t>
      </w:r>
      <w:r w:rsidRPr="0066484F">
        <w:rPr>
          <w:szCs w:val="20"/>
        </w:rPr>
        <w:t>e i relativi strumenti di comunicazione</w:t>
      </w:r>
      <w:r w:rsidR="0066484F">
        <w:rPr>
          <w:szCs w:val="20"/>
        </w:rPr>
        <w:t>;</w:t>
      </w:r>
    </w:p>
    <w:p w:rsidR="00594366" w:rsidRDefault="00594366" w:rsidP="0066484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 xml:space="preserve">sapranno distinguere i messaggi su temi di </w:t>
      </w:r>
      <w:r>
        <w:rPr>
          <w:i/>
          <w:iCs/>
          <w:szCs w:val="20"/>
        </w:rPr>
        <w:t>policy</w:t>
      </w:r>
      <w:r>
        <w:rPr>
          <w:szCs w:val="20"/>
        </w:rPr>
        <w:t xml:space="preserve"> tra diversi flussi di comunicazione politica;</w:t>
      </w:r>
    </w:p>
    <w:p w:rsidR="00EF0AA9" w:rsidRPr="00EF0AA9" w:rsidRDefault="00EF0AA9" w:rsidP="0066484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EF0AA9">
        <w:rPr>
          <w:szCs w:val="20"/>
        </w:rPr>
        <w:t>sapranno identificare la struttura e gli elementi persuasivi essenziali di documenti e testi inerenti politiche pubbliche</w:t>
      </w:r>
      <w:r w:rsidR="0066484F">
        <w:rPr>
          <w:szCs w:val="20"/>
        </w:rPr>
        <w:t>.</w:t>
      </w:r>
    </w:p>
    <w:p w:rsidR="00EF0AA9" w:rsidRDefault="00EF0AA9" w:rsidP="00EF0A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F0AA9" w:rsidRPr="00010B32" w:rsidRDefault="00EF0AA9" w:rsidP="00EF0AA9">
      <w:pPr>
        <w:tabs>
          <w:tab w:val="clear" w:pos="284"/>
        </w:tabs>
        <w:spacing w:line="240" w:lineRule="auto"/>
        <w:rPr>
          <w:szCs w:val="20"/>
        </w:rPr>
      </w:pPr>
      <w:r w:rsidRPr="00010B32">
        <w:rPr>
          <w:szCs w:val="20"/>
        </w:rPr>
        <w:t>Il corso propone un percorso didattico coerente, articolato in tre moduli, curato congiuntamente dai due docenti. Il programma de</w:t>
      </w:r>
      <w:r>
        <w:rPr>
          <w:szCs w:val="20"/>
        </w:rPr>
        <w:t>l corso si articola come s</w:t>
      </w:r>
      <w:r w:rsidRPr="00010B32">
        <w:rPr>
          <w:szCs w:val="20"/>
        </w:rPr>
        <w:t>egue:</w:t>
      </w:r>
    </w:p>
    <w:p w:rsidR="00EF0AA9" w:rsidRDefault="0034307A" w:rsidP="00EF0AA9">
      <w:pPr>
        <w:spacing w:before="120" w:line="276" w:lineRule="auto"/>
        <w:ind w:left="284" w:hanging="284"/>
      </w:pPr>
      <w:r>
        <w:t>1</w:t>
      </w:r>
      <w:r w:rsidR="00EF0AA9">
        <w:t>.</w:t>
      </w:r>
      <w:r w:rsidR="00EF0AA9">
        <w:tab/>
      </w:r>
      <w:r w:rsidR="00EF0AA9" w:rsidRPr="00584716">
        <w:t>Introduzione al sistema dei media e al loro uso possibile per comunicare le politiche</w:t>
      </w:r>
      <w:r w:rsidR="00EF0AA9">
        <w:t xml:space="preserve"> </w:t>
      </w:r>
      <w:r w:rsidR="006352E0">
        <w:t xml:space="preserve">pubbliche </w:t>
      </w:r>
      <w:r w:rsidR="00EF0AA9">
        <w:t>(a cura del Prof. Simone Tosoni)</w:t>
      </w:r>
    </w:p>
    <w:p w:rsidR="00EF0AA9" w:rsidRDefault="00EF0AA9" w:rsidP="00EF0AA9">
      <w:pPr>
        <w:ind w:left="284" w:hanging="284"/>
      </w:pPr>
      <w:r>
        <w:tab/>
        <w:t>Il modulo introduce gli studenti alle principali caratteristiche del sistema mediale contemporaneo e al fenomeno della convergenza e della trans-medialità, interrogate rispetto al tema dell</w:t>
      </w:r>
      <w:r w:rsidR="006352E0">
        <w:t>a comunicazione delle</w:t>
      </w:r>
      <w:r>
        <w:t xml:space="preserve"> politiche pubbliche. Particolare attenzione verrà dedicata all’uso dei social media e del web 2.0.</w:t>
      </w:r>
    </w:p>
    <w:p w:rsidR="0034307A" w:rsidRPr="00010B32" w:rsidRDefault="0034307A" w:rsidP="0034307A">
      <w:pPr>
        <w:spacing w:line="240" w:lineRule="auto"/>
        <w:ind w:left="284" w:hanging="284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010B32">
        <w:rPr>
          <w:i/>
          <w:szCs w:val="20"/>
        </w:rPr>
        <w:t>Comunicazione e policymaking</w:t>
      </w:r>
      <w:r w:rsidRPr="00010B32">
        <w:rPr>
          <w:szCs w:val="20"/>
        </w:rPr>
        <w:t xml:space="preserve"> (a cura del Prof. Martino Mazzoleni). </w:t>
      </w:r>
    </w:p>
    <w:p w:rsidR="0034307A" w:rsidRDefault="0034307A" w:rsidP="0034307A">
      <w:pPr>
        <w:tabs>
          <w:tab w:val="clear" w:pos="284"/>
        </w:tabs>
        <w:spacing w:line="240" w:lineRule="auto"/>
        <w:ind w:left="284"/>
        <w:rPr>
          <w:szCs w:val="20"/>
        </w:rPr>
      </w:pPr>
      <w:r>
        <w:rPr>
          <w:szCs w:val="20"/>
        </w:rPr>
        <w:t xml:space="preserve">Dopo un’introduzione </w:t>
      </w:r>
      <w:r w:rsidR="006A7AF5">
        <w:rPr>
          <w:szCs w:val="20"/>
        </w:rPr>
        <w:t>relativa a</w:t>
      </w:r>
      <w:r>
        <w:rPr>
          <w:szCs w:val="20"/>
        </w:rPr>
        <w:t>l</w:t>
      </w:r>
      <w:r w:rsidRPr="00010B32">
        <w:rPr>
          <w:szCs w:val="20"/>
        </w:rPr>
        <w:t>la rilevanza della comunicazione per gli attori impegnati nella formulazione, decisione e realizzazione di una politica</w:t>
      </w:r>
      <w:r w:rsidR="0086624D">
        <w:rPr>
          <w:szCs w:val="20"/>
        </w:rPr>
        <w:t xml:space="preserve"> pubblica</w:t>
      </w:r>
      <w:r>
        <w:rPr>
          <w:szCs w:val="20"/>
        </w:rPr>
        <w:t xml:space="preserve">, il modulo </w:t>
      </w:r>
      <w:r w:rsidRPr="00010B32">
        <w:rPr>
          <w:szCs w:val="20"/>
        </w:rPr>
        <w:t>approfondi</w:t>
      </w:r>
      <w:r>
        <w:rPr>
          <w:szCs w:val="20"/>
        </w:rPr>
        <w:t>sce tecniche ed esperienze d</w:t>
      </w:r>
      <w:r w:rsidRPr="00010B32">
        <w:rPr>
          <w:szCs w:val="20"/>
        </w:rPr>
        <w:t>i comunica</w:t>
      </w:r>
      <w:r w:rsidR="0086624D">
        <w:rPr>
          <w:szCs w:val="20"/>
        </w:rPr>
        <w:t>zione</w:t>
      </w:r>
      <w:r w:rsidRPr="00010B32">
        <w:rPr>
          <w:szCs w:val="20"/>
        </w:rPr>
        <w:t xml:space="preserve"> relativ</w:t>
      </w:r>
      <w:r w:rsidR="0086624D">
        <w:rPr>
          <w:szCs w:val="20"/>
        </w:rPr>
        <w:t>e</w:t>
      </w:r>
      <w:r w:rsidRPr="00010B32">
        <w:rPr>
          <w:szCs w:val="20"/>
        </w:rPr>
        <w:t xml:space="preserve"> </w:t>
      </w:r>
      <w:r>
        <w:rPr>
          <w:szCs w:val="20"/>
        </w:rPr>
        <w:t xml:space="preserve">a temi di </w:t>
      </w:r>
      <w:r>
        <w:rPr>
          <w:i/>
          <w:iCs/>
          <w:szCs w:val="20"/>
        </w:rPr>
        <w:t>policy</w:t>
      </w:r>
      <w:r w:rsidRPr="00010B32">
        <w:rPr>
          <w:szCs w:val="20"/>
        </w:rPr>
        <w:t xml:space="preserve"> che interessano il sistema politico (</w:t>
      </w:r>
      <w:r w:rsidRPr="00010B32">
        <w:rPr>
          <w:i/>
          <w:szCs w:val="20"/>
        </w:rPr>
        <w:t>policymakers</w:t>
      </w:r>
      <w:r w:rsidRPr="00010B32">
        <w:rPr>
          <w:szCs w:val="20"/>
        </w:rPr>
        <w:t xml:space="preserve">), i cittadini (utenti delle </w:t>
      </w:r>
      <w:r w:rsidRPr="00010B32">
        <w:rPr>
          <w:i/>
          <w:szCs w:val="20"/>
        </w:rPr>
        <w:t>policies</w:t>
      </w:r>
      <w:r w:rsidRPr="00010B32">
        <w:rPr>
          <w:szCs w:val="20"/>
        </w:rPr>
        <w:t xml:space="preserve">) e gli esperti (analisti e valutatori di </w:t>
      </w:r>
      <w:r w:rsidRPr="00010B32">
        <w:rPr>
          <w:i/>
          <w:szCs w:val="20"/>
        </w:rPr>
        <w:t>policy</w:t>
      </w:r>
      <w:r w:rsidRPr="00010B32">
        <w:rPr>
          <w:szCs w:val="20"/>
        </w:rPr>
        <w:t xml:space="preserve">). </w:t>
      </w:r>
      <w:r>
        <w:rPr>
          <w:szCs w:val="20"/>
        </w:rPr>
        <w:t xml:space="preserve">Il modulo </w:t>
      </w:r>
      <w:r w:rsidR="00EC33E1">
        <w:rPr>
          <w:szCs w:val="20"/>
        </w:rPr>
        <w:t>si concentra inoltre su</w:t>
      </w:r>
      <w:r>
        <w:rPr>
          <w:szCs w:val="20"/>
        </w:rPr>
        <w:t xml:space="preserve">gli strumenti </w:t>
      </w:r>
      <w:r w:rsidR="00404DB7">
        <w:rPr>
          <w:szCs w:val="20"/>
        </w:rPr>
        <w:t xml:space="preserve">scritti </w:t>
      </w:r>
      <w:r>
        <w:rPr>
          <w:szCs w:val="20"/>
        </w:rPr>
        <w:t xml:space="preserve">di comunicazione </w:t>
      </w:r>
      <w:r w:rsidR="0086624D">
        <w:rPr>
          <w:szCs w:val="20"/>
        </w:rPr>
        <w:t xml:space="preserve">di politiche pubbliche </w:t>
      </w:r>
      <w:r>
        <w:rPr>
          <w:szCs w:val="20"/>
        </w:rPr>
        <w:t>(</w:t>
      </w:r>
      <w:r w:rsidR="00137ECB" w:rsidRPr="00137ECB">
        <w:rPr>
          <w:i/>
          <w:iCs/>
          <w:szCs w:val="20"/>
        </w:rPr>
        <w:t xml:space="preserve">policy </w:t>
      </w:r>
      <w:r w:rsidRPr="00137ECB">
        <w:rPr>
          <w:i/>
          <w:iCs/>
          <w:szCs w:val="20"/>
        </w:rPr>
        <w:t>paper</w:t>
      </w:r>
      <w:r w:rsidR="00137ECB" w:rsidRPr="00137ECB">
        <w:rPr>
          <w:i/>
          <w:iCs/>
          <w:szCs w:val="20"/>
        </w:rPr>
        <w:t>s</w:t>
      </w:r>
      <w:r>
        <w:rPr>
          <w:szCs w:val="20"/>
        </w:rPr>
        <w:t xml:space="preserve">). </w:t>
      </w:r>
    </w:p>
    <w:p w:rsidR="00EF0AA9" w:rsidRPr="00010B32" w:rsidRDefault="00EF0AA9" w:rsidP="00EF0AA9">
      <w:pPr>
        <w:spacing w:before="120"/>
        <w:ind w:left="284" w:hanging="284"/>
        <w:rPr>
          <w:szCs w:val="20"/>
        </w:rPr>
      </w:pPr>
      <w:r>
        <w:rPr>
          <w:szCs w:val="20"/>
        </w:rPr>
        <w:lastRenderedPageBreak/>
        <w:t>3.</w:t>
      </w:r>
      <w:r>
        <w:rPr>
          <w:szCs w:val="20"/>
        </w:rPr>
        <w:tab/>
      </w:r>
      <w:r w:rsidRPr="00010B32">
        <w:rPr>
          <w:szCs w:val="20"/>
        </w:rPr>
        <w:t>L’ultimo modulo esemplifica e approfondisce i temi trattati nei primi due attraverso l’analisi e la presentazione di case stud</w:t>
      </w:r>
      <w:r>
        <w:rPr>
          <w:szCs w:val="20"/>
        </w:rPr>
        <w:t>y di</w:t>
      </w:r>
      <w:r w:rsidRPr="00010B32">
        <w:rPr>
          <w:szCs w:val="20"/>
        </w:rPr>
        <w:t xml:space="preserve"> comunicazione delle politiche da parte di </w:t>
      </w:r>
      <w:r w:rsidRPr="00357FEF">
        <w:rPr>
          <w:i/>
          <w:iCs/>
          <w:szCs w:val="20"/>
        </w:rPr>
        <w:t>practitioner</w:t>
      </w:r>
      <w:r w:rsidRPr="00010B32">
        <w:rPr>
          <w:szCs w:val="20"/>
        </w:rPr>
        <w:t>, soggetti organizzatori o realizzatori.</w:t>
      </w:r>
      <w:r w:rsidR="00FA6E12">
        <w:rPr>
          <w:szCs w:val="20"/>
        </w:rPr>
        <w:t xml:space="preserve"> </w:t>
      </w:r>
    </w:p>
    <w:p w:rsidR="00EF0AA9" w:rsidRPr="0066484F" w:rsidRDefault="00EF0AA9" w:rsidP="006648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E21DE">
        <w:rPr>
          <w:rStyle w:val="Rimandonotaapidipagina"/>
          <w:b/>
          <w:i/>
          <w:sz w:val="18"/>
        </w:rPr>
        <w:footnoteReference w:id="1"/>
      </w:r>
    </w:p>
    <w:p w:rsidR="00EF0AA9" w:rsidRPr="00EF0AA9" w:rsidRDefault="00EF0AA9" w:rsidP="00EF0AA9">
      <w:pPr>
        <w:pStyle w:val="Testo1"/>
        <w:spacing w:before="0" w:line="240" w:lineRule="atLeast"/>
        <w:rPr>
          <w:spacing w:val="-5"/>
        </w:rPr>
      </w:pPr>
      <w:r w:rsidRPr="00EF0AA9">
        <w:rPr>
          <w:smallCaps/>
          <w:spacing w:val="-5"/>
          <w:sz w:val="16"/>
        </w:rPr>
        <w:t>L. Bobbio-F. Roncarolo</w:t>
      </w:r>
      <w:r w:rsidRPr="0066484F">
        <w:rPr>
          <w:spacing w:val="-5"/>
        </w:rPr>
        <w:t xml:space="preserve"> (a cura di), </w:t>
      </w:r>
      <w:r w:rsidRPr="00EF0AA9">
        <w:rPr>
          <w:i/>
          <w:spacing w:val="-5"/>
        </w:rPr>
        <w:t>I media e le politiche. Come i giornali raccontano le scelte pubbliche che riguardano la vita dei cittadini,</w:t>
      </w:r>
      <w:r w:rsidRPr="00EF0AA9">
        <w:rPr>
          <w:spacing w:val="-5"/>
        </w:rPr>
        <w:t xml:space="preserve"> Il Mulino, Bologna, 201</w:t>
      </w:r>
      <w:r w:rsidR="00594366">
        <w:rPr>
          <w:spacing w:val="-5"/>
        </w:rPr>
        <w:t>6</w:t>
      </w:r>
      <w:r w:rsidRPr="00EF0AA9">
        <w:rPr>
          <w:spacing w:val="-5"/>
        </w:rPr>
        <w:t xml:space="preserve">. </w:t>
      </w:r>
      <w:hyperlink r:id="rId9" w:history="1">
        <w:r w:rsidR="009E21DE" w:rsidRPr="009E21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F0AA9" w:rsidRPr="00EF0AA9" w:rsidRDefault="00EF0AA9" w:rsidP="00EF0AA9">
      <w:pPr>
        <w:pStyle w:val="Testo1"/>
        <w:spacing w:before="0" w:line="240" w:lineRule="atLeast"/>
        <w:rPr>
          <w:spacing w:val="-5"/>
        </w:rPr>
      </w:pPr>
      <w:r w:rsidRPr="00EF0AA9">
        <w:rPr>
          <w:smallCaps/>
          <w:spacing w:val="-5"/>
          <w:sz w:val="16"/>
        </w:rPr>
        <w:t>P. Jenkins,</w:t>
      </w:r>
      <w:r w:rsidRPr="00EF0AA9">
        <w:rPr>
          <w:i/>
          <w:spacing w:val="-5"/>
        </w:rPr>
        <w:t xml:space="preserve"> Cultura convergente,</w:t>
      </w:r>
      <w:r w:rsidRPr="00EF0AA9">
        <w:rPr>
          <w:spacing w:val="-5"/>
        </w:rPr>
        <w:t xml:space="preserve"> Apogeo, Milano, 2013.</w:t>
      </w:r>
      <w:r w:rsidR="009E21DE">
        <w:rPr>
          <w:spacing w:val="-5"/>
        </w:rPr>
        <w:t xml:space="preserve"> </w:t>
      </w:r>
      <w:hyperlink r:id="rId10" w:history="1">
        <w:r w:rsidR="009E21DE" w:rsidRPr="009E21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F0AA9" w:rsidRDefault="00EF0AA9" w:rsidP="00EF0A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F0AA9" w:rsidRDefault="00EF0AA9" w:rsidP="00EF0AA9">
      <w:pPr>
        <w:pStyle w:val="Testo2"/>
      </w:pPr>
      <w:r w:rsidRPr="00010B32">
        <w:t xml:space="preserve">Lezione frontale (75%), presentazione e analisi di </w:t>
      </w:r>
      <w:r w:rsidRPr="009544AC">
        <w:rPr>
          <w:i/>
        </w:rPr>
        <w:t>case studies</w:t>
      </w:r>
      <w:r w:rsidRPr="00010B32">
        <w:t xml:space="preserve"> (25%)</w:t>
      </w:r>
      <w:r w:rsidR="00594366">
        <w:t>, per i quali è consigliata la frequenza</w:t>
      </w:r>
      <w:r w:rsidRPr="00010B32">
        <w:t>.</w:t>
      </w:r>
      <w:r w:rsidR="00FC4B43">
        <w:t xml:space="preserve"> </w:t>
      </w:r>
      <w:r w:rsidR="00FC4B43">
        <w:rPr>
          <w:rFonts w:cs="Times"/>
          <w:color w:val="000000" w:themeColor="text1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="008F5D09">
        <w:rPr>
          <w:rFonts w:cs="Times"/>
          <w:color w:val="000000" w:themeColor="text1"/>
          <w:szCs w:val="18"/>
          <w:shd w:val="clear" w:color="auto" w:fill="FFFFFF"/>
        </w:rPr>
        <w:t xml:space="preserve"> </w:t>
      </w:r>
      <w:r w:rsidR="008F5D09">
        <w:t>In particolare, le modalità di erogazione della didattica del terzo modulo dipenderanno strettamente dall’evoluzione della situazione relativa alla pandemia.</w:t>
      </w:r>
    </w:p>
    <w:p w:rsidR="00EF0AA9" w:rsidRDefault="00EF0AA9" w:rsidP="00EF0A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F0AA9" w:rsidRDefault="00EF0AA9" w:rsidP="00EF0AA9">
      <w:pPr>
        <w:pStyle w:val="Testo2"/>
      </w:pPr>
      <w:r>
        <w:t xml:space="preserve">Per gli studenti </w:t>
      </w:r>
      <w:r w:rsidRPr="00B056B0">
        <w:rPr>
          <w:i/>
        </w:rPr>
        <w:t>frequentanti</w:t>
      </w:r>
      <w:r>
        <w:t xml:space="preserve">, l’esame si svolgerà in forma scritta, nella modalità del test e/o delle domande a risposta libera, e verterà sui contenuti delle lezioni. Obiettivo della prova di esame sarà accertare </w:t>
      </w:r>
      <w:r>
        <w:rPr>
          <w:szCs w:val="18"/>
        </w:rPr>
        <w:t xml:space="preserve">la rigorosità nello </w:t>
      </w:r>
      <w:r w:rsidRPr="00136D25">
        <w:rPr>
          <w:szCs w:val="18"/>
        </w:rPr>
        <w:t xml:space="preserve">studio e la </w:t>
      </w:r>
      <w:r>
        <w:rPr>
          <w:szCs w:val="18"/>
        </w:rPr>
        <w:t>profondità</w:t>
      </w:r>
      <w:r w:rsidRPr="00136D25">
        <w:rPr>
          <w:szCs w:val="18"/>
        </w:rPr>
        <w:t xml:space="preserve"> della comprensione</w:t>
      </w:r>
      <w:r>
        <w:rPr>
          <w:szCs w:val="18"/>
        </w:rPr>
        <w:t xml:space="preserve"> dei temi affrontati in classe.</w:t>
      </w:r>
      <w:r>
        <w:t xml:space="preserve"> La valutazione terrà conto della coerenza delle risposte con le domande, dell’esattezza dei contenuti e della completezza degli stessi.</w:t>
      </w:r>
    </w:p>
    <w:p w:rsidR="00EF0AA9" w:rsidRDefault="00EF0AA9" w:rsidP="00EF0AA9">
      <w:pPr>
        <w:pStyle w:val="Testo2"/>
      </w:pPr>
      <w:r>
        <w:t xml:space="preserve">Per gli studenti </w:t>
      </w:r>
      <w:r w:rsidRPr="00B056B0">
        <w:rPr>
          <w:i/>
        </w:rPr>
        <w:t>non</w:t>
      </w:r>
      <w:r>
        <w:t xml:space="preserve"> </w:t>
      </w:r>
      <w:r w:rsidRPr="00B056B0">
        <w:rPr>
          <w:i/>
        </w:rPr>
        <w:t>frequentanti</w:t>
      </w:r>
      <w:r>
        <w:t xml:space="preserve">, l’esame si svolgerà in forma di colloquio orale sulla bibliografia di riferimento. Obiettivo della prova di esame sarà accertare </w:t>
      </w:r>
      <w:r>
        <w:rPr>
          <w:szCs w:val="18"/>
        </w:rPr>
        <w:t xml:space="preserve">la rigorosità nello </w:t>
      </w:r>
      <w:r w:rsidRPr="00136D25">
        <w:rPr>
          <w:szCs w:val="18"/>
        </w:rPr>
        <w:t xml:space="preserve">studio e la </w:t>
      </w:r>
      <w:r>
        <w:rPr>
          <w:szCs w:val="18"/>
        </w:rPr>
        <w:t>profondità</w:t>
      </w:r>
      <w:r w:rsidRPr="00136D25">
        <w:rPr>
          <w:szCs w:val="18"/>
        </w:rPr>
        <w:t xml:space="preserve"> della comprensione</w:t>
      </w:r>
      <w:r>
        <w:rPr>
          <w:szCs w:val="18"/>
        </w:rPr>
        <w:t xml:space="preserve"> dei temi affrontati nella letteratura di riferimento.</w:t>
      </w:r>
      <w:r>
        <w:t xml:space="preserve"> La valutazione terrà conto della coerenza delle risposte con le domande, dell’esattezza dei contenuti e della completezza degli stessi.</w:t>
      </w:r>
    </w:p>
    <w:p w:rsidR="00EF0AA9" w:rsidRDefault="00EF0AA9" w:rsidP="00EF0AA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9499C" w:rsidRDefault="0009499C" w:rsidP="00EF0AA9">
      <w:pPr>
        <w:spacing w:before="120" w:line="220" w:lineRule="exact"/>
        <w:ind w:firstLine="284"/>
        <w:rPr>
          <w:rFonts w:ascii="Times" w:hAnsi="Times"/>
          <w:noProof/>
          <w:sz w:val="18"/>
          <w:szCs w:val="20"/>
        </w:rPr>
      </w:pPr>
      <w:r w:rsidRPr="0009499C">
        <w:rPr>
          <w:rFonts w:ascii="Times" w:hAnsi="Times"/>
          <w:noProof/>
          <w:sz w:val="18"/>
          <w:szCs w:val="20"/>
        </w:rPr>
        <w:t>Qualora l'emergenza sanitaria dovesse protrarsi,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EF0AA9" w:rsidRPr="00010B32" w:rsidRDefault="00EF0AA9" w:rsidP="00EF0AA9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10B32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EF0AA9" w:rsidRDefault="00EF0AA9" w:rsidP="00EF0AA9">
      <w:pPr>
        <w:pStyle w:val="Testo2"/>
      </w:pPr>
      <w:r>
        <w:lastRenderedPageBreak/>
        <w:t>Il Prof. Simone Tosoni riceve presso il dipartimento di Scienze della Comunicazione, del Teatro e dello Spettacolo, il martedì e il giovedì, su appuntamento e-mail.</w:t>
      </w:r>
    </w:p>
    <w:p w:rsidR="00EF0AA9" w:rsidRDefault="00EF0AA9" w:rsidP="00EF0AA9">
      <w:pPr>
        <w:pStyle w:val="Testo2"/>
      </w:pPr>
      <w:r w:rsidRPr="00D7095D">
        <w:t xml:space="preserve">Il </w:t>
      </w:r>
      <w:r>
        <w:t>P</w:t>
      </w:r>
      <w:r w:rsidRPr="00D7095D">
        <w:t xml:space="preserve">rof. Martino Mazzoleni </w:t>
      </w:r>
      <w:r>
        <w:t>riceve presso il D</w:t>
      </w:r>
      <w:r w:rsidRPr="00D7095D">
        <w:t xml:space="preserve">ipartimento di Scienze </w:t>
      </w:r>
      <w:r>
        <w:t xml:space="preserve">Politiche; l’orario </w:t>
      </w:r>
      <w:r w:rsidRPr="00D7095D">
        <w:t>verrà comunicato all’inizio dell’anno accademico.</w:t>
      </w:r>
    </w:p>
    <w:sectPr w:rsidR="00EF0A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DE" w:rsidRDefault="009E21DE" w:rsidP="009E21DE">
      <w:pPr>
        <w:spacing w:line="240" w:lineRule="auto"/>
      </w:pPr>
      <w:r>
        <w:separator/>
      </w:r>
    </w:p>
  </w:endnote>
  <w:endnote w:type="continuationSeparator" w:id="0">
    <w:p w:rsidR="009E21DE" w:rsidRDefault="009E21DE" w:rsidP="009E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DE" w:rsidRDefault="009E21DE" w:rsidP="009E21DE">
      <w:pPr>
        <w:spacing w:line="240" w:lineRule="auto"/>
      </w:pPr>
      <w:r>
        <w:separator/>
      </w:r>
    </w:p>
  </w:footnote>
  <w:footnote w:type="continuationSeparator" w:id="0">
    <w:p w:rsidR="009E21DE" w:rsidRDefault="009E21DE" w:rsidP="009E21DE">
      <w:pPr>
        <w:spacing w:line="240" w:lineRule="auto"/>
      </w:pPr>
      <w:r>
        <w:continuationSeparator/>
      </w:r>
    </w:p>
  </w:footnote>
  <w:footnote w:id="1">
    <w:p w:rsidR="009E21DE" w:rsidRDefault="009E21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AAA"/>
    <w:multiLevelType w:val="hybridMultilevel"/>
    <w:tmpl w:val="9B5A4162"/>
    <w:lvl w:ilvl="0" w:tplc="BA98E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664C"/>
    <w:multiLevelType w:val="hybridMultilevel"/>
    <w:tmpl w:val="77A6BCBE"/>
    <w:lvl w:ilvl="0" w:tplc="C6F64FB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A9"/>
    <w:rsid w:val="0009499C"/>
    <w:rsid w:val="00137ECB"/>
    <w:rsid w:val="00187B99"/>
    <w:rsid w:val="002014DD"/>
    <w:rsid w:val="002D5E17"/>
    <w:rsid w:val="0034307A"/>
    <w:rsid w:val="00357FEF"/>
    <w:rsid w:val="00404DB7"/>
    <w:rsid w:val="004D1217"/>
    <w:rsid w:val="004D6008"/>
    <w:rsid w:val="005163FB"/>
    <w:rsid w:val="00594366"/>
    <w:rsid w:val="006352E0"/>
    <w:rsid w:val="00640794"/>
    <w:rsid w:val="0066484F"/>
    <w:rsid w:val="006A7AF5"/>
    <w:rsid w:val="006F1772"/>
    <w:rsid w:val="0086624D"/>
    <w:rsid w:val="008942E7"/>
    <w:rsid w:val="008A1204"/>
    <w:rsid w:val="008F5D09"/>
    <w:rsid w:val="00900CCA"/>
    <w:rsid w:val="00924B77"/>
    <w:rsid w:val="00940DA2"/>
    <w:rsid w:val="009E055C"/>
    <w:rsid w:val="009E21DE"/>
    <w:rsid w:val="00A74F6F"/>
    <w:rsid w:val="00AD7557"/>
    <w:rsid w:val="00B50C5D"/>
    <w:rsid w:val="00B51253"/>
    <w:rsid w:val="00B525CC"/>
    <w:rsid w:val="00D404F2"/>
    <w:rsid w:val="00E36AFA"/>
    <w:rsid w:val="00E607E6"/>
    <w:rsid w:val="00EC33E1"/>
    <w:rsid w:val="00ED41F0"/>
    <w:rsid w:val="00EF0AA9"/>
    <w:rsid w:val="00F27E94"/>
    <w:rsid w:val="00FA6E12"/>
    <w:rsid w:val="00F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0AA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F0AA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5163FB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63FB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9E21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21DE"/>
  </w:style>
  <w:style w:type="character" w:styleId="Rimandonotaapidipagina">
    <w:name w:val="footnote reference"/>
    <w:basedOn w:val="Carpredefinitoparagrafo"/>
    <w:rsid w:val="009E21DE"/>
    <w:rPr>
      <w:vertAlign w:val="superscript"/>
    </w:rPr>
  </w:style>
  <w:style w:type="character" w:styleId="Collegamentoipertestuale">
    <w:name w:val="Hyperlink"/>
    <w:basedOn w:val="Carpredefinitoparagrafo"/>
    <w:rsid w:val="009E21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0AA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F0AA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5163FB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63FB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9E21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21DE"/>
  </w:style>
  <w:style w:type="character" w:styleId="Rimandonotaapidipagina">
    <w:name w:val="footnote reference"/>
    <w:basedOn w:val="Carpredefinitoparagrafo"/>
    <w:rsid w:val="009E21DE"/>
    <w:rPr>
      <w:vertAlign w:val="superscript"/>
    </w:rPr>
  </w:style>
  <w:style w:type="character" w:styleId="Collegamentoipertestuale">
    <w:name w:val="Hyperlink"/>
    <w:basedOn w:val="Carpredefinitoparagrafo"/>
    <w:rsid w:val="009E2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henry-jenkins/cultura-convergente-9788838787768-21569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-media-e-le-politiche-come-i-giornali-raccontano-le-scelte-pubbliche-che-riguardano-la-vita-dei-cittadini-9788815259295-52768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7B8B-D399-4926-8C7F-4D372751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686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2020-05-18T09:25:00Z</dcterms:created>
  <dcterms:modified xsi:type="dcterms:W3CDTF">2020-07-07T11:34:00Z</dcterms:modified>
</cp:coreProperties>
</file>