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F1" w:rsidRPr="00232173" w:rsidRDefault="003861F1" w:rsidP="003861F1">
      <w:pPr>
        <w:pStyle w:val="Titolo1"/>
        <w:spacing w:line="276" w:lineRule="auto"/>
        <w:rPr>
          <w:szCs w:val="18"/>
        </w:rPr>
      </w:pPr>
      <w:r w:rsidRPr="00232173">
        <w:rPr>
          <w:szCs w:val="18"/>
        </w:rPr>
        <w:t>Attori e modelli organizzativi del welfare privato</w:t>
      </w:r>
    </w:p>
    <w:p w:rsidR="003861F1" w:rsidRPr="008C739A" w:rsidRDefault="003861F1" w:rsidP="003861F1">
      <w:pPr>
        <w:pStyle w:val="Titolo2"/>
        <w:spacing w:line="276" w:lineRule="auto"/>
        <w:rPr>
          <w:szCs w:val="18"/>
        </w:rPr>
      </w:pPr>
      <w:r w:rsidRPr="008C739A">
        <w:rPr>
          <w:szCs w:val="18"/>
        </w:rPr>
        <w:t>Prof Luca Pesenti</w:t>
      </w:r>
    </w:p>
    <w:p w:rsidR="002D5E17" w:rsidRDefault="003861F1" w:rsidP="003861F1">
      <w:pPr>
        <w:spacing w:before="240" w:after="120" w:line="240" w:lineRule="exact"/>
        <w:rPr>
          <w:b/>
          <w:sz w:val="18"/>
        </w:rPr>
      </w:pPr>
      <w:r>
        <w:rPr>
          <w:b/>
          <w:i/>
          <w:sz w:val="18"/>
        </w:rPr>
        <w:t>OBIETTIVO DEL CORSO E RISULTATI DI APPRENDIMENTO ATTESI</w:t>
      </w:r>
    </w:p>
    <w:p w:rsidR="003861F1" w:rsidRPr="003861F1" w:rsidRDefault="003861F1" w:rsidP="00232173">
      <w:pPr>
        <w:spacing w:line="240" w:lineRule="exact"/>
        <w:rPr>
          <w:szCs w:val="20"/>
        </w:rPr>
      </w:pPr>
      <w:r w:rsidRPr="003861F1">
        <w:rPr>
          <w:szCs w:val="20"/>
        </w:rPr>
        <w:t>Il corso si propone di introdurre gli studenti all’analisi degli attori attivi nella produzione e distribuzione di beni e servizi afferenti all’area del welfare, sempre più spesso presenti anche in aree di tradizionale presidio da parte del welfare pubblic</w:t>
      </w:r>
      <w:r w:rsidR="00232173">
        <w:rPr>
          <w:szCs w:val="20"/>
        </w:rPr>
        <w:t xml:space="preserve">o. </w:t>
      </w:r>
      <w:r w:rsidRPr="003861F1">
        <w:rPr>
          <w:szCs w:val="20"/>
        </w:rPr>
        <w:t xml:space="preserve">All’interno di un </w:t>
      </w:r>
      <w:proofErr w:type="spellStart"/>
      <w:r w:rsidRPr="003861F1">
        <w:rPr>
          <w:i/>
          <w:szCs w:val="20"/>
        </w:rPr>
        <w:t>framework</w:t>
      </w:r>
      <w:proofErr w:type="spellEnd"/>
      <w:r w:rsidRPr="003861F1">
        <w:rPr>
          <w:szCs w:val="20"/>
        </w:rPr>
        <w:t xml:space="preserve"> teorico orientato all’analisi del welfare plurale, il corso intende evidenziare il contributo che tali attori forniscono, le dimensioni di spesa che possono garantire, i modelli organizzativi, gli spazi di opportunità e gli elementi critici evidenziati dalla letteratura. </w:t>
      </w:r>
    </w:p>
    <w:p w:rsidR="003861F1" w:rsidRPr="003861F1" w:rsidRDefault="003861F1" w:rsidP="00232173">
      <w:pPr>
        <w:spacing w:line="240" w:lineRule="exact"/>
        <w:rPr>
          <w:szCs w:val="20"/>
        </w:rPr>
      </w:pPr>
      <w:r w:rsidRPr="003861F1">
        <w:rPr>
          <w:szCs w:val="20"/>
        </w:rPr>
        <w:t>Completano il corso tre laboratori applicativi (di cui due obbligatori) consentiranno di avvicinare lo studente all’uso di strumenti operativi utili nelle professioni del welfare e dello sviluppo sostenibile.</w:t>
      </w:r>
    </w:p>
    <w:p w:rsidR="003861F1" w:rsidRDefault="003861F1" w:rsidP="00232173">
      <w:pPr>
        <w:pStyle w:val="Default"/>
        <w:spacing w:line="240" w:lineRule="exact"/>
        <w:jc w:val="both"/>
        <w:rPr>
          <w:rFonts w:ascii="Times New Roman" w:hAnsi="Times New Roman" w:cs="Times New Roman"/>
          <w:sz w:val="20"/>
          <w:szCs w:val="20"/>
        </w:rPr>
      </w:pPr>
      <w:r w:rsidRPr="003861F1">
        <w:rPr>
          <w:rFonts w:ascii="Times New Roman" w:hAnsi="Times New Roman" w:cs="Times New Roman"/>
          <w:sz w:val="20"/>
          <w:szCs w:val="20"/>
        </w:rPr>
        <w:t xml:space="preserve">I risultati di apprendimento attesi riguardano sia capacità disciplinari che capacità trasversali. Al termine del corso lo studente sarà in grado di identificare le caratteristiche salienti del contributo offerto dai vari attori privati nel sistema di welfare, sapendo definire i punti di forza e di debolezza, nonché identificando le prospettive di sviluppo del mercato del welfare privato. Lo studente sarà altresì in grado di padroneggiare alcuni strumenti tecnico-operativi utili per lo sviluppo di alcune aree operative di soggetti profit e </w:t>
      </w:r>
      <w:proofErr w:type="spellStart"/>
      <w:r w:rsidRPr="003861F1">
        <w:rPr>
          <w:rFonts w:ascii="Times New Roman" w:hAnsi="Times New Roman" w:cs="Times New Roman"/>
          <w:sz w:val="20"/>
          <w:szCs w:val="20"/>
        </w:rPr>
        <w:t>nonprofit</w:t>
      </w:r>
      <w:proofErr w:type="spellEnd"/>
      <w:r w:rsidRPr="003861F1">
        <w:rPr>
          <w:rFonts w:ascii="Times New Roman" w:hAnsi="Times New Roman" w:cs="Times New Roman"/>
          <w:sz w:val="20"/>
          <w:szCs w:val="20"/>
        </w:rPr>
        <w:t>. Rispetto alle competenze trasversali, verrà richiesta l’acquisizione di una capacità di riflessione critica, di collab</w:t>
      </w:r>
      <w:r>
        <w:rPr>
          <w:rFonts w:ascii="Times New Roman" w:hAnsi="Times New Roman" w:cs="Times New Roman"/>
          <w:sz w:val="20"/>
          <w:szCs w:val="20"/>
        </w:rPr>
        <w:t>orazione e di lavoro di gruppo.</w:t>
      </w:r>
    </w:p>
    <w:p w:rsidR="003861F1" w:rsidRDefault="003861F1" w:rsidP="003861F1">
      <w:pPr>
        <w:spacing w:before="240" w:after="120" w:line="240" w:lineRule="exact"/>
        <w:rPr>
          <w:b/>
          <w:sz w:val="18"/>
        </w:rPr>
      </w:pPr>
      <w:r>
        <w:rPr>
          <w:b/>
          <w:i/>
          <w:sz w:val="18"/>
        </w:rPr>
        <w:t>PROGRAMMA DEL CORSO</w:t>
      </w:r>
    </w:p>
    <w:p w:rsidR="003861F1" w:rsidRPr="003861F1" w:rsidRDefault="003861F1" w:rsidP="00232173">
      <w:pPr>
        <w:spacing w:before="120" w:line="240" w:lineRule="exact"/>
        <w:rPr>
          <w:szCs w:val="20"/>
        </w:rPr>
      </w:pPr>
      <w:r w:rsidRPr="003861F1">
        <w:rPr>
          <w:szCs w:val="20"/>
        </w:rPr>
        <w:t>Il corso prevede l’app</w:t>
      </w:r>
      <w:r>
        <w:rPr>
          <w:szCs w:val="20"/>
        </w:rPr>
        <w:t>rofondimento dei seguenti temi:</w:t>
      </w:r>
    </w:p>
    <w:p w:rsidR="003861F1" w:rsidRPr="003861F1" w:rsidRDefault="00232173" w:rsidP="00232173">
      <w:pPr>
        <w:spacing w:line="240" w:lineRule="exact"/>
        <w:ind w:left="284" w:hanging="284"/>
        <w:rPr>
          <w:szCs w:val="20"/>
        </w:rPr>
      </w:pPr>
      <w:r>
        <w:rPr>
          <w:szCs w:val="20"/>
        </w:rPr>
        <w:t>–</w:t>
      </w:r>
      <w:r>
        <w:rPr>
          <w:szCs w:val="20"/>
        </w:rPr>
        <w:tab/>
      </w:r>
      <w:r w:rsidR="003861F1" w:rsidRPr="003861F1">
        <w:rPr>
          <w:szCs w:val="20"/>
        </w:rPr>
        <w:t xml:space="preserve">Welfare mix e sistemi di welfare plurale: caratteristiche generali; paradigmi culturali e opzioni di politiche pubbliche; meccanismi e principali strumenti della </w:t>
      </w:r>
      <w:proofErr w:type="spellStart"/>
      <w:r w:rsidR="003861F1" w:rsidRPr="003861F1">
        <w:rPr>
          <w:szCs w:val="20"/>
        </w:rPr>
        <w:t>governance</w:t>
      </w:r>
      <w:proofErr w:type="spellEnd"/>
      <w:r w:rsidR="003861F1" w:rsidRPr="003861F1">
        <w:rPr>
          <w:szCs w:val="20"/>
        </w:rPr>
        <w:t xml:space="preserve"> di sistemi pubblico-privati;</w:t>
      </w:r>
    </w:p>
    <w:p w:rsidR="003861F1" w:rsidRPr="003861F1" w:rsidRDefault="00232173" w:rsidP="00232173">
      <w:pPr>
        <w:spacing w:line="240" w:lineRule="exact"/>
        <w:ind w:left="284" w:hanging="284"/>
        <w:rPr>
          <w:szCs w:val="20"/>
        </w:rPr>
      </w:pPr>
      <w:r>
        <w:rPr>
          <w:szCs w:val="20"/>
        </w:rPr>
        <w:t>–</w:t>
      </w:r>
      <w:r>
        <w:rPr>
          <w:szCs w:val="20"/>
        </w:rPr>
        <w:tab/>
      </w:r>
      <w:r w:rsidR="003861F1" w:rsidRPr="003861F1">
        <w:rPr>
          <w:szCs w:val="20"/>
        </w:rPr>
        <w:t>Il finanziamento di un moderno sistema di welfare: dimensioni e profili critici; il problema della spesa out-of-pocket delle famiglie;</w:t>
      </w:r>
    </w:p>
    <w:p w:rsidR="003861F1" w:rsidRPr="003861F1" w:rsidRDefault="00232173" w:rsidP="00232173">
      <w:pPr>
        <w:spacing w:line="240" w:lineRule="exact"/>
        <w:ind w:left="284" w:hanging="284"/>
        <w:rPr>
          <w:szCs w:val="20"/>
        </w:rPr>
      </w:pPr>
      <w:r>
        <w:rPr>
          <w:szCs w:val="20"/>
        </w:rPr>
        <w:t>–</w:t>
      </w:r>
      <w:r>
        <w:rPr>
          <w:szCs w:val="20"/>
        </w:rPr>
        <w:tab/>
      </w:r>
      <w:r w:rsidR="003861F1" w:rsidRPr="003861F1">
        <w:rPr>
          <w:szCs w:val="20"/>
        </w:rPr>
        <w:t>I soggetti del terzo settore: cooperazione sociale, imprese sociali, enti mutualistici, ibridi organizzativi; focus sulla Riforma del terzo settore in Italia.</w:t>
      </w:r>
    </w:p>
    <w:p w:rsidR="003861F1" w:rsidRPr="003861F1" w:rsidRDefault="00232173" w:rsidP="00232173">
      <w:pPr>
        <w:spacing w:line="240" w:lineRule="exact"/>
        <w:ind w:left="284" w:hanging="284"/>
        <w:rPr>
          <w:szCs w:val="20"/>
        </w:rPr>
      </w:pPr>
      <w:r>
        <w:rPr>
          <w:szCs w:val="20"/>
        </w:rPr>
        <w:t>–</w:t>
      </w:r>
      <w:r>
        <w:rPr>
          <w:szCs w:val="20"/>
        </w:rPr>
        <w:tab/>
      </w:r>
      <w:r w:rsidR="003861F1" w:rsidRPr="003861F1">
        <w:rPr>
          <w:szCs w:val="20"/>
        </w:rPr>
        <w:t xml:space="preserve">Welfare contrattuale e welfare aziendale, dentro e fuori le relazioni industriali: strumenti, dimensioni del fenomeno, prospettive e problemi. Focus sulle assicurazioni sanitarie: fondi aperti e chiusi nella prospettiva della </w:t>
      </w:r>
      <w:proofErr w:type="spellStart"/>
      <w:r w:rsidR="003861F1" w:rsidRPr="003861F1">
        <w:rPr>
          <w:szCs w:val="20"/>
        </w:rPr>
        <w:lastRenderedPageBreak/>
        <w:t>pluralizzazione</w:t>
      </w:r>
      <w:proofErr w:type="spellEnd"/>
      <w:r w:rsidR="003861F1" w:rsidRPr="003861F1">
        <w:rPr>
          <w:szCs w:val="20"/>
        </w:rPr>
        <w:t xml:space="preserve"> delle fonti di finanziamento; integrazione, complementarietà o sostituzione: gli scenari.</w:t>
      </w:r>
    </w:p>
    <w:p w:rsidR="00646B3F" w:rsidRDefault="003861F1" w:rsidP="00646B3F">
      <w:pPr>
        <w:spacing w:before="240" w:after="120"/>
        <w:rPr>
          <w:rFonts w:ascii="Times" w:hAnsi="Times"/>
          <w:smallCaps/>
          <w:spacing w:val="-5"/>
          <w:sz w:val="16"/>
          <w:szCs w:val="20"/>
        </w:rPr>
      </w:pPr>
      <w:r>
        <w:rPr>
          <w:b/>
          <w:i/>
          <w:sz w:val="18"/>
        </w:rPr>
        <w:t>BIBLIOGRAFIA</w:t>
      </w:r>
      <w:r w:rsidR="00207AA1">
        <w:rPr>
          <w:b/>
          <w:i/>
          <w:sz w:val="18"/>
        </w:rPr>
        <w:t xml:space="preserve"> </w:t>
      </w:r>
      <w:r w:rsidR="00207AA1">
        <w:rPr>
          <w:rStyle w:val="Rimandonotaapidipagina"/>
          <w:b/>
          <w:i/>
          <w:sz w:val="18"/>
        </w:rPr>
        <w:footnoteReference w:id="1"/>
      </w:r>
    </w:p>
    <w:p w:rsidR="00646B3F" w:rsidRPr="006C64E5" w:rsidRDefault="00646B3F" w:rsidP="00646B3F">
      <w:pPr>
        <w:spacing w:before="240" w:after="120"/>
        <w:rPr>
          <w:rFonts w:ascii="Times" w:hAnsi="Times"/>
          <w:spacing w:val="-5"/>
          <w:sz w:val="18"/>
          <w:szCs w:val="20"/>
        </w:rPr>
      </w:pPr>
      <w:r>
        <w:rPr>
          <w:rFonts w:ascii="Times" w:hAnsi="Times"/>
          <w:smallCaps/>
          <w:spacing w:val="-5"/>
          <w:sz w:val="16"/>
          <w:szCs w:val="20"/>
        </w:rPr>
        <w:t>V. Cesareo, N. Pavesi</w:t>
      </w:r>
      <w:r w:rsidRPr="006C64E5">
        <w:rPr>
          <w:rFonts w:ascii="Times" w:hAnsi="Times"/>
          <w:smallCaps/>
          <w:spacing w:val="-5"/>
          <w:sz w:val="16"/>
          <w:szCs w:val="20"/>
        </w:rPr>
        <w:t>,</w:t>
      </w:r>
      <w:r w:rsidRPr="006C64E5">
        <w:rPr>
          <w:rFonts w:ascii="Times" w:hAnsi="Times"/>
          <w:i/>
          <w:spacing w:val="-5"/>
          <w:sz w:val="18"/>
          <w:szCs w:val="20"/>
        </w:rPr>
        <w:t xml:space="preserve"> </w:t>
      </w:r>
      <w:r>
        <w:rPr>
          <w:rFonts w:ascii="Times" w:hAnsi="Times"/>
          <w:i/>
          <w:spacing w:val="-5"/>
          <w:sz w:val="18"/>
          <w:szCs w:val="20"/>
        </w:rPr>
        <w:t>Il welfare responsabile alla prova</w:t>
      </w:r>
      <w:r w:rsidRPr="006C64E5">
        <w:rPr>
          <w:rFonts w:ascii="Times" w:hAnsi="Times"/>
          <w:i/>
          <w:spacing w:val="-5"/>
          <w:sz w:val="18"/>
          <w:szCs w:val="20"/>
        </w:rPr>
        <w:t>,</w:t>
      </w:r>
      <w:r w:rsidRPr="006C64E5">
        <w:rPr>
          <w:rFonts w:ascii="Times" w:hAnsi="Times"/>
          <w:spacing w:val="-5"/>
          <w:sz w:val="18"/>
          <w:szCs w:val="20"/>
        </w:rPr>
        <w:t xml:space="preserve"> </w:t>
      </w:r>
      <w:r>
        <w:rPr>
          <w:rFonts w:ascii="Times" w:hAnsi="Times"/>
          <w:spacing w:val="-5"/>
          <w:sz w:val="18"/>
          <w:szCs w:val="20"/>
        </w:rPr>
        <w:t>Vita e Pensiero, Milano 2019 (</w:t>
      </w:r>
      <w:proofErr w:type="spellStart"/>
      <w:r>
        <w:rPr>
          <w:rFonts w:ascii="Times" w:hAnsi="Times"/>
          <w:spacing w:val="-5"/>
          <w:sz w:val="18"/>
          <w:szCs w:val="20"/>
        </w:rPr>
        <w:t>capp</w:t>
      </w:r>
      <w:proofErr w:type="spellEnd"/>
      <w:r>
        <w:rPr>
          <w:rFonts w:ascii="Times" w:hAnsi="Times"/>
          <w:spacing w:val="-5"/>
          <w:sz w:val="18"/>
          <w:szCs w:val="20"/>
        </w:rPr>
        <w:t>. 1 e 2)</w:t>
      </w:r>
      <w:r w:rsidRPr="006C64E5">
        <w:rPr>
          <w:rFonts w:ascii="Times" w:hAnsi="Times"/>
          <w:spacing w:val="-5"/>
          <w:sz w:val="18"/>
          <w:szCs w:val="20"/>
        </w:rPr>
        <w:t>.</w:t>
      </w:r>
      <w:r w:rsidR="00207AA1">
        <w:rPr>
          <w:rFonts w:ascii="Times" w:hAnsi="Times"/>
          <w:spacing w:val="-5"/>
          <w:sz w:val="18"/>
          <w:szCs w:val="20"/>
        </w:rPr>
        <w:t xml:space="preserve"> </w:t>
      </w:r>
      <w:hyperlink r:id="rId8" w:history="1">
        <w:r w:rsidR="00207AA1" w:rsidRPr="00207AA1">
          <w:rPr>
            <w:rStyle w:val="Collegamentoipertestuale"/>
            <w:i/>
            <w:sz w:val="16"/>
            <w:szCs w:val="16"/>
          </w:rPr>
          <w:t>Acquista da VP</w:t>
        </w:r>
      </w:hyperlink>
    </w:p>
    <w:p w:rsidR="00646B3F" w:rsidRPr="00646B3F" w:rsidRDefault="00646B3F" w:rsidP="00646B3F">
      <w:pPr>
        <w:spacing w:line="240" w:lineRule="atLeast"/>
        <w:ind w:left="284" w:hanging="284"/>
        <w:rPr>
          <w:rFonts w:ascii="Times" w:hAnsi="Times"/>
          <w:spacing w:val="-5"/>
          <w:sz w:val="18"/>
          <w:szCs w:val="20"/>
        </w:rPr>
      </w:pPr>
      <w:r>
        <w:rPr>
          <w:rFonts w:ascii="Times" w:hAnsi="Times"/>
          <w:smallCaps/>
          <w:spacing w:val="-5"/>
          <w:sz w:val="16"/>
          <w:szCs w:val="20"/>
        </w:rPr>
        <w:t>L. Pesenti</w:t>
      </w:r>
      <w:r w:rsidRPr="006C64E5">
        <w:rPr>
          <w:rFonts w:ascii="Times" w:hAnsi="Times"/>
          <w:spacing w:val="-5"/>
          <w:sz w:val="18"/>
          <w:szCs w:val="20"/>
        </w:rPr>
        <w:t>.</w:t>
      </w:r>
      <w:r>
        <w:rPr>
          <w:rFonts w:ascii="Times" w:hAnsi="Times"/>
          <w:spacing w:val="-5"/>
          <w:sz w:val="18"/>
          <w:szCs w:val="20"/>
        </w:rPr>
        <w:t xml:space="preserve"> </w:t>
      </w:r>
      <w:r>
        <w:rPr>
          <w:rFonts w:ascii="Times" w:hAnsi="Times"/>
          <w:i/>
          <w:spacing w:val="-5"/>
          <w:sz w:val="18"/>
          <w:szCs w:val="20"/>
        </w:rPr>
        <w:t xml:space="preserve">Il welfare in azienda, </w:t>
      </w:r>
      <w:r>
        <w:rPr>
          <w:rFonts w:ascii="Times" w:hAnsi="Times"/>
          <w:spacing w:val="-5"/>
          <w:sz w:val="18"/>
          <w:szCs w:val="20"/>
        </w:rPr>
        <w:t>Vita e Pensiero, Milano 2019.</w:t>
      </w:r>
      <w:r w:rsidR="00207AA1">
        <w:rPr>
          <w:rFonts w:ascii="Times" w:hAnsi="Times"/>
          <w:spacing w:val="-5"/>
          <w:sz w:val="18"/>
          <w:szCs w:val="20"/>
        </w:rPr>
        <w:t xml:space="preserve"> </w:t>
      </w:r>
      <w:hyperlink r:id="rId9" w:history="1">
        <w:r w:rsidR="00207AA1" w:rsidRPr="00207AA1">
          <w:rPr>
            <w:rStyle w:val="Collegamentoipertestuale"/>
            <w:i/>
            <w:sz w:val="16"/>
            <w:szCs w:val="16"/>
          </w:rPr>
          <w:t>Acquista da VP</w:t>
        </w:r>
      </w:hyperlink>
    </w:p>
    <w:p w:rsidR="00646B3F" w:rsidRDefault="00646B3F" w:rsidP="00646B3F">
      <w:pPr>
        <w:spacing w:line="240" w:lineRule="atLeast"/>
        <w:ind w:left="284" w:hanging="284"/>
        <w:rPr>
          <w:rFonts w:ascii="Times" w:hAnsi="Times"/>
          <w:spacing w:val="-5"/>
          <w:sz w:val="18"/>
          <w:szCs w:val="18"/>
        </w:rPr>
      </w:pPr>
      <w:r>
        <w:rPr>
          <w:rFonts w:ascii="Times" w:hAnsi="Times"/>
          <w:smallCaps/>
          <w:spacing w:val="-5"/>
          <w:sz w:val="16"/>
          <w:szCs w:val="20"/>
        </w:rPr>
        <w:t xml:space="preserve">U. De Ambrogio, C. </w:t>
      </w:r>
      <w:proofErr w:type="spellStart"/>
      <w:r>
        <w:rPr>
          <w:rFonts w:ascii="Times" w:hAnsi="Times"/>
          <w:smallCaps/>
          <w:spacing w:val="-5"/>
          <w:sz w:val="16"/>
          <w:szCs w:val="20"/>
        </w:rPr>
        <w:t>Guidetti</w:t>
      </w:r>
      <w:proofErr w:type="spellEnd"/>
      <w:r w:rsidRPr="00D60F55">
        <w:rPr>
          <w:rFonts w:ascii="Times" w:hAnsi="Times"/>
          <w:spacing w:val="-5"/>
          <w:sz w:val="18"/>
          <w:szCs w:val="18"/>
        </w:rPr>
        <w:t xml:space="preserve">, </w:t>
      </w:r>
      <w:r>
        <w:rPr>
          <w:rFonts w:ascii="Times" w:hAnsi="Times"/>
          <w:i/>
          <w:spacing w:val="-5"/>
          <w:sz w:val="18"/>
          <w:szCs w:val="18"/>
        </w:rPr>
        <w:t xml:space="preserve">La </w:t>
      </w:r>
      <w:proofErr w:type="spellStart"/>
      <w:r>
        <w:rPr>
          <w:rFonts w:ascii="Times" w:hAnsi="Times"/>
          <w:i/>
          <w:spacing w:val="-5"/>
          <w:sz w:val="18"/>
          <w:szCs w:val="18"/>
        </w:rPr>
        <w:t>coprogettazione</w:t>
      </w:r>
      <w:proofErr w:type="spellEnd"/>
      <w:r>
        <w:rPr>
          <w:rFonts w:ascii="Times" w:hAnsi="Times"/>
          <w:i/>
          <w:spacing w:val="-5"/>
          <w:sz w:val="18"/>
          <w:szCs w:val="18"/>
        </w:rPr>
        <w:t>. La partnership tra pubblico e privato</w:t>
      </w:r>
      <w:r w:rsidRPr="00D60F55">
        <w:rPr>
          <w:rFonts w:ascii="Times" w:hAnsi="Times"/>
          <w:spacing w:val="-5"/>
          <w:sz w:val="18"/>
          <w:szCs w:val="18"/>
        </w:rPr>
        <w:t xml:space="preserve">, </w:t>
      </w:r>
      <w:r>
        <w:rPr>
          <w:rFonts w:ascii="Times" w:hAnsi="Times"/>
          <w:spacing w:val="-5"/>
          <w:sz w:val="18"/>
          <w:szCs w:val="18"/>
        </w:rPr>
        <w:t>Carocci, Roma 2018 (escluso cap. 5).</w:t>
      </w:r>
      <w:r w:rsidR="00207AA1">
        <w:rPr>
          <w:rFonts w:ascii="Times" w:hAnsi="Times"/>
          <w:spacing w:val="-5"/>
          <w:sz w:val="18"/>
          <w:szCs w:val="18"/>
        </w:rPr>
        <w:t xml:space="preserve"> </w:t>
      </w:r>
      <w:hyperlink r:id="rId10" w:history="1">
        <w:r w:rsidR="00207AA1" w:rsidRPr="00207AA1">
          <w:rPr>
            <w:rStyle w:val="Collegamentoipertestuale"/>
            <w:i/>
            <w:sz w:val="16"/>
            <w:szCs w:val="16"/>
          </w:rPr>
          <w:t>Acquista da VP</w:t>
        </w:r>
      </w:hyperlink>
      <w:bookmarkStart w:id="0" w:name="_GoBack"/>
      <w:bookmarkEnd w:id="0"/>
    </w:p>
    <w:p w:rsidR="00646B3F" w:rsidRDefault="00646B3F" w:rsidP="00646B3F">
      <w:pPr>
        <w:pStyle w:val="Testo1"/>
      </w:pPr>
      <w:r>
        <w:t>I</w:t>
      </w:r>
      <w:r w:rsidRPr="009F34D3">
        <w:t>ndicazioni</w:t>
      </w:r>
      <w:r>
        <w:t xml:space="preserve"> </w:t>
      </w:r>
      <w:r w:rsidRPr="009F34D3">
        <w:t>sull’utilizzo dei testi</w:t>
      </w:r>
      <w:r>
        <w:t xml:space="preserve"> da parte degli studenti frequentanti</w:t>
      </w:r>
      <w:r w:rsidRPr="009F34D3">
        <w:t xml:space="preserve"> verranno fornite all’inizio del corso. </w:t>
      </w:r>
    </w:p>
    <w:p w:rsidR="003861F1" w:rsidRDefault="003861F1" w:rsidP="003861F1">
      <w:pPr>
        <w:spacing w:before="240" w:after="120"/>
        <w:rPr>
          <w:b/>
          <w:i/>
          <w:sz w:val="18"/>
        </w:rPr>
      </w:pPr>
      <w:r>
        <w:rPr>
          <w:b/>
          <w:i/>
          <w:sz w:val="18"/>
        </w:rPr>
        <w:t>DIDATTICA DEL CORSO</w:t>
      </w:r>
    </w:p>
    <w:p w:rsidR="003861F1" w:rsidRPr="00CF7A4B" w:rsidRDefault="003861F1" w:rsidP="003861F1">
      <w:pPr>
        <w:pStyle w:val="Testo2"/>
      </w:pPr>
      <w:r w:rsidRPr="00CF7A4B">
        <w:t>Le lezioni si articoleranno in lezioni frontali, analisi di casi</w:t>
      </w:r>
      <w:r>
        <w:t xml:space="preserve"> (anche con la presenza in aula di testimoni esterni)</w:t>
      </w:r>
      <w:r w:rsidRPr="00CF7A4B">
        <w:t xml:space="preserve"> e lavori di gruppo. È richiesto un atteggiamento partecipativo</w:t>
      </w:r>
      <w:r>
        <w:t>.</w:t>
      </w:r>
      <w:r w:rsidRPr="00CF7A4B">
        <w:t xml:space="preserve"> </w:t>
      </w:r>
    </w:p>
    <w:p w:rsidR="003861F1" w:rsidRPr="008C739A" w:rsidRDefault="003861F1" w:rsidP="003861F1">
      <w:pPr>
        <w:pStyle w:val="Testo2"/>
      </w:pPr>
      <w:r w:rsidRPr="008C739A">
        <w:t>È inoltre obbligatoria la partecipazione a due laboratori</w:t>
      </w:r>
      <w:r>
        <w:t xml:space="preserve"> applicativi</w:t>
      </w:r>
      <w:r w:rsidRPr="008C739A">
        <w:t xml:space="preserve"> scelti tra </w:t>
      </w:r>
      <w:r w:rsidR="00646B3F">
        <w:t xml:space="preserve">i </w:t>
      </w:r>
      <w:r>
        <w:t>seguenti tre</w:t>
      </w:r>
      <w:r w:rsidRPr="008C739A">
        <w:t>:</w:t>
      </w:r>
    </w:p>
    <w:p w:rsidR="003861F1" w:rsidRPr="008C739A" w:rsidRDefault="003861F1" w:rsidP="00232173">
      <w:pPr>
        <w:pStyle w:val="Testo2"/>
        <w:tabs>
          <w:tab w:val="left" w:pos="567"/>
        </w:tabs>
      </w:pPr>
      <w:r w:rsidRPr="008C739A">
        <w:t>–</w:t>
      </w:r>
      <w:r w:rsidRPr="008C739A">
        <w:tab/>
        <w:t>Laboratorio sui progetti finanziati dalla Unione Europea (Europrogettazione).</w:t>
      </w:r>
    </w:p>
    <w:p w:rsidR="003861F1" w:rsidRPr="008C739A" w:rsidRDefault="003861F1" w:rsidP="00232173">
      <w:pPr>
        <w:pStyle w:val="Testo2"/>
        <w:tabs>
          <w:tab w:val="left" w:pos="567"/>
        </w:tabs>
      </w:pPr>
      <w:r w:rsidRPr="008C739A">
        <w:t>–</w:t>
      </w:r>
      <w:r w:rsidRPr="008C739A">
        <w:tab/>
        <w:t xml:space="preserve">Laboratorio sul fund-raising per il </w:t>
      </w:r>
      <w:r>
        <w:t>nonprofit</w:t>
      </w:r>
      <w:r w:rsidRPr="008C739A">
        <w:t>.</w:t>
      </w:r>
    </w:p>
    <w:p w:rsidR="003861F1" w:rsidRPr="008C739A" w:rsidRDefault="003861F1" w:rsidP="00232173">
      <w:pPr>
        <w:pStyle w:val="Testo2"/>
        <w:tabs>
          <w:tab w:val="left" w:pos="567"/>
        </w:tabs>
      </w:pPr>
      <w:r w:rsidRPr="008C739A">
        <w:t>–</w:t>
      </w:r>
      <w:r w:rsidRPr="008C739A">
        <w:tab/>
        <w:t xml:space="preserve">Laboratorio </w:t>
      </w:r>
      <w:r>
        <w:t>sulla progettazione di un piano di welfare aziendale</w:t>
      </w:r>
      <w:r w:rsidRPr="008C739A">
        <w:t>.</w:t>
      </w:r>
    </w:p>
    <w:p w:rsidR="003861F1" w:rsidRDefault="003861F1" w:rsidP="003861F1">
      <w:pPr>
        <w:spacing w:before="240" w:after="120"/>
        <w:rPr>
          <w:b/>
          <w:i/>
          <w:sz w:val="18"/>
        </w:rPr>
      </w:pPr>
      <w:r>
        <w:rPr>
          <w:b/>
          <w:i/>
          <w:sz w:val="18"/>
        </w:rPr>
        <w:t>METODO E CRITERI DI VALUTAZIONE</w:t>
      </w:r>
    </w:p>
    <w:p w:rsidR="003861F1" w:rsidRDefault="003861F1" w:rsidP="003861F1">
      <w:pPr>
        <w:pStyle w:val="Testo2"/>
      </w:pPr>
      <w:r w:rsidRPr="003861F1">
        <w:t>Esame scritto con votazione espressa in trentesimi. Il calcolo del voto verrà così calcolato: ciascun laboratorio concorrerà per 1/6, mentre l’esame finale concorrerà per i restanti 2/3. Gli studenti frequentanti potranno sostituire una parte della preparazione con un dissertazione in forma scritta, che verrà concordata durante il corso. L’esame finale consisterà in cinque domande aperte e saranno finalizzate a verificare la preparazione specifica nonché una capacità argomentativa.</w:t>
      </w:r>
    </w:p>
    <w:p w:rsidR="003861F1" w:rsidRDefault="003861F1" w:rsidP="003861F1">
      <w:pPr>
        <w:spacing w:before="240" w:after="120" w:line="240" w:lineRule="exact"/>
        <w:rPr>
          <w:b/>
          <w:i/>
          <w:sz w:val="18"/>
        </w:rPr>
      </w:pPr>
      <w:r>
        <w:rPr>
          <w:b/>
          <w:i/>
          <w:sz w:val="18"/>
        </w:rPr>
        <w:t>AVVERTENZE E PREREQUISITI</w:t>
      </w:r>
    </w:p>
    <w:p w:rsidR="00232173" w:rsidRPr="008C739A" w:rsidRDefault="00232173" w:rsidP="00232173">
      <w:pPr>
        <w:pStyle w:val="Testo2"/>
        <w:spacing w:line="276" w:lineRule="auto"/>
        <w:rPr>
          <w:i/>
          <w:szCs w:val="18"/>
        </w:rPr>
      </w:pPr>
      <w:r>
        <w:rPr>
          <w:i/>
          <w:szCs w:val="18"/>
        </w:rPr>
        <w:t>Prerequisiti</w:t>
      </w:r>
    </w:p>
    <w:p w:rsidR="00232173" w:rsidRPr="003861F1" w:rsidRDefault="00232173" w:rsidP="00232173">
      <w:pPr>
        <w:pStyle w:val="Testo2"/>
      </w:pPr>
      <w:r w:rsidRPr="003861F1">
        <w:t xml:space="preserve">La trattazione degli argomenti previsti richiede una conoscenza di base delle principali caratteristiche dei sistemi di welfare. </w:t>
      </w:r>
    </w:p>
    <w:p w:rsidR="00232173" w:rsidRDefault="00232173" w:rsidP="00232173">
      <w:pPr>
        <w:pStyle w:val="Testo2"/>
      </w:pPr>
      <w:r w:rsidRPr="003861F1">
        <w:t>Per sostenere l’esame finale gli studenti dovranno avere preventivamente ottenuto la valutazione relativa ai due laboratori applicativi a f</w:t>
      </w:r>
      <w:r w:rsidR="00646B3F">
        <w:t>re</w:t>
      </w:r>
      <w:r>
        <w:t>quenza obbligatoria previsti.</w:t>
      </w:r>
    </w:p>
    <w:p w:rsidR="00FB273F" w:rsidRPr="00F30DAC" w:rsidRDefault="00FB273F" w:rsidP="00FB273F">
      <w:pPr>
        <w:pStyle w:val="Testo2"/>
      </w:pPr>
      <w:r w:rsidRPr="00F30DAC">
        <w:lastRenderedPageBreak/>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3861F1" w:rsidRPr="008C739A" w:rsidRDefault="003861F1" w:rsidP="00232173">
      <w:pPr>
        <w:pStyle w:val="Testo2"/>
        <w:spacing w:before="120" w:line="276" w:lineRule="auto"/>
        <w:rPr>
          <w:i/>
          <w:szCs w:val="18"/>
        </w:rPr>
      </w:pPr>
      <w:r w:rsidRPr="008C739A">
        <w:rPr>
          <w:i/>
          <w:szCs w:val="18"/>
        </w:rPr>
        <w:t>Orario e luogo di ricevimento</w:t>
      </w:r>
    </w:p>
    <w:p w:rsidR="003861F1" w:rsidRPr="003861F1" w:rsidRDefault="003861F1" w:rsidP="003861F1">
      <w:pPr>
        <w:pStyle w:val="Testo2"/>
      </w:pPr>
      <w:r w:rsidRPr="003861F1">
        <w:t>Il docente riceve gli studenti come indicato online sulle pagine personali.</w:t>
      </w:r>
    </w:p>
    <w:sectPr w:rsidR="003861F1" w:rsidRPr="003861F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A1" w:rsidRDefault="00207AA1" w:rsidP="00207AA1">
      <w:pPr>
        <w:spacing w:line="240" w:lineRule="auto"/>
      </w:pPr>
      <w:r>
        <w:separator/>
      </w:r>
    </w:p>
  </w:endnote>
  <w:endnote w:type="continuationSeparator" w:id="0">
    <w:p w:rsidR="00207AA1" w:rsidRDefault="00207AA1" w:rsidP="00207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A1" w:rsidRDefault="00207AA1" w:rsidP="00207AA1">
      <w:pPr>
        <w:spacing w:line="240" w:lineRule="auto"/>
      </w:pPr>
      <w:r>
        <w:separator/>
      </w:r>
    </w:p>
  </w:footnote>
  <w:footnote w:type="continuationSeparator" w:id="0">
    <w:p w:rsidR="00207AA1" w:rsidRDefault="00207AA1" w:rsidP="00207AA1">
      <w:pPr>
        <w:spacing w:line="240" w:lineRule="auto"/>
      </w:pPr>
      <w:r>
        <w:continuationSeparator/>
      </w:r>
    </w:p>
  </w:footnote>
  <w:footnote w:id="1">
    <w:p w:rsidR="00207AA1" w:rsidRDefault="00207AA1">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F1"/>
    <w:rsid w:val="000021BE"/>
    <w:rsid w:val="00187B99"/>
    <w:rsid w:val="002014DD"/>
    <w:rsid w:val="00207AA1"/>
    <w:rsid w:val="00232173"/>
    <w:rsid w:val="002D5E17"/>
    <w:rsid w:val="003861F1"/>
    <w:rsid w:val="003C79B3"/>
    <w:rsid w:val="004D1217"/>
    <w:rsid w:val="004D6008"/>
    <w:rsid w:val="00640794"/>
    <w:rsid w:val="00646B3F"/>
    <w:rsid w:val="006F1772"/>
    <w:rsid w:val="008942E7"/>
    <w:rsid w:val="008A1204"/>
    <w:rsid w:val="00900CCA"/>
    <w:rsid w:val="00924B77"/>
    <w:rsid w:val="00940DA2"/>
    <w:rsid w:val="009E055C"/>
    <w:rsid w:val="00A74F6F"/>
    <w:rsid w:val="00AD7557"/>
    <w:rsid w:val="00B50C5D"/>
    <w:rsid w:val="00B51253"/>
    <w:rsid w:val="00B525CC"/>
    <w:rsid w:val="00D404F2"/>
    <w:rsid w:val="00E607E6"/>
    <w:rsid w:val="00FB2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3861F1"/>
    <w:pPr>
      <w:autoSpaceDE w:val="0"/>
      <w:autoSpaceDN w:val="0"/>
      <w:adjustRightInd w:val="0"/>
    </w:pPr>
    <w:rPr>
      <w:rFonts w:ascii="Tahoma" w:hAnsi="Tahoma" w:cs="Tahoma"/>
      <w:color w:val="000000"/>
      <w:sz w:val="24"/>
      <w:szCs w:val="24"/>
    </w:rPr>
  </w:style>
  <w:style w:type="paragraph" w:styleId="Testonormale">
    <w:name w:val="Plain Text"/>
    <w:basedOn w:val="Normale"/>
    <w:link w:val="TestonormaleCarattere"/>
    <w:uiPriority w:val="99"/>
    <w:unhideWhenUsed/>
    <w:rsid w:val="00FB273F"/>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FB273F"/>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207AA1"/>
    <w:pPr>
      <w:spacing w:line="240" w:lineRule="auto"/>
    </w:pPr>
    <w:rPr>
      <w:szCs w:val="20"/>
    </w:rPr>
  </w:style>
  <w:style w:type="character" w:customStyle="1" w:styleId="TestonotaapidipaginaCarattere">
    <w:name w:val="Testo nota a piè di pagina Carattere"/>
    <w:basedOn w:val="Carpredefinitoparagrafo"/>
    <w:link w:val="Testonotaapidipagina"/>
    <w:rsid w:val="00207AA1"/>
  </w:style>
  <w:style w:type="character" w:styleId="Rimandonotaapidipagina">
    <w:name w:val="footnote reference"/>
    <w:basedOn w:val="Carpredefinitoparagrafo"/>
    <w:rsid w:val="00207AA1"/>
    <w:rPr>
      <w:vertAlign w:val="superscript"/>
    </w:rPr>
  </w:style>
  <w:style w:type="character" w:styleId="Collegamentoipertestuale">
    <w:name w:val="Hyperlink"/>
    <w:basedOn w:val="Carpredefinitoparagrafo"/>
    <w:rsid w:val="00207A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3861F1"/>
    <w:pPr>
      <w:autoSpaceDE w:val="0"/>
      <w:autoSpaceDN w:val="0"/>
      <w:adjustRightInd w:val="0"/>
    </w:pPr>
    <w:rPr>
      <w:rFonts w:ascii="Tahoma" w:hAnsi="Tahoma" w:cs="Tahoma"/>
      <w:color w:val="000000"/>
      <w:sz w:val="24"/>
      <w:szCs w:val="24"/>
    </w:rPr>
  </w:style>
  <w:style w:type="paragraph" w:styleId="Testonormale">
    <w:name w:val="Plain Text"/>
    <w:basedOn w:val="Normale"/>
    <w:link w:val="TestonormaleCarattere"/>
    <w:uiPriority w:val="99"/>
    <w:unhideWhenUsed/>
    <w:rsid w:val="00FB273F"/>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FB273F"/>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207AA1"/>
    <w:pPr>
      <w:spacing w:line="240" w:lineRule="auto"/>
    </w:pPr>
    <w:rPr>
      <w:szCs w:val="20"/>
    </w:rPr>
  </w:style>
  <w:style w:type="character" w:customStyle="1" w:styleId="TestonotaapidipaginaCarattere">
    <w:name w:val="Testo nota a piè di pagina Carattere"/>
    <w:basedOn w:val="Carpredefinitoparagrafo"/>
    <w:link w:val="Testonotaapidipagina"/>
    <w:rsid w:val="00207AA1"/>
  </w:style>
  <w:style w:type="character" w:styleId="Rimandonotaapidipagina">
    <w:name w:val="footnote reference"/>
    <w:basedOn w:val="Carpredefinitoparagrafo"/>
    <w:rsid w:val="00207AA1"/>
    <w:rPr>
      <w:vertAlign w:val="superscript"/>
    </w:rPr>
  </w:style>
  <w:style w:type="character" w:styleId="Collegamentoipertestuale">
    <w:name w:val="Hyperlink"/>
    <w:basedOn w:val="Carpredefinitoparagrafo"/>
    <w:rsid w:val="00207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l-welfare-responsabile-alla-prova-una-proposta-per-la-societa-italiana-9788834338704-67655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ugo-de-ambrogio-cecilia-guidetti/la-coprogettazione-la-partnership-tra-pubblico-e-terzo-settore-9788874667529-652424.html" TargetMode="External"/><Relationship Id="rId4" Type="http://schemas.openxmlformats.org/officeDocument/2006/relationships/settings" Target="settings.xml"/><Relationship Id="rId9" Type="http://schemas.openxmlformats.org/officeDocument/2006/relationships/hyperlink" Target="https://librerie.unicatt.it/scheda-libro/luca-pesenti/il-welfare-in-azienda-imprese-smart-e-benessere-dei-lavoratori-9788834340431-67855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F190-B587-4D67-907C-AD3A57F2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652</Words>
  <Characters>4570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2020-04-27T09:50:00Z</dcterms:created>
  <dcterms:modified xsi:type="dcterms:W3CDTF">2020-07-07T05:30:00Z</dcterms:modified>
</cp:coreProperties>
</file>