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B0" w:rsidRDefault="00164DB3">
      <w:pPr>
        <w:pStyle w:val="Titolo1"/>
        <w:rPr>
          <w:rFonts w:hint="eastAsia"/>
        </w:rPr>
      </w:pPr>
      <w:r>
        <w:t>Geometria elementare (con laboratorio di didattica della geometria)</w:t>
      </w:r>
    </w:p>
    <w:p w:rsidR="002265B0" w:rsidRDefault="00164DB3">
      <w:pPr>
        <w:pStyle w:val="Titolo2"/>
        <w:rPr>
          <w:rFonts w:hint="eastAsia"/>
        </w:rPr>
      </w:pPr>
      <w:r>
        <w:t>Prof. Laura Montagnoli</w:t>
      </w:r>
    </w:p>
    <w:p w:rsidR="002265B0" w:rsidRDefault="00164DB3">
      <w:pPr>
        <w:spacing w:before="240" w:after="120" w:line="240" w:lineRule="exact"/>
        <w:rPr>
          <w:b/>
          <w:bCs/>
          <w:i/>
          <w:iCs/>
          <w:sz w:val="18"/>
          <w:szCs w:val="18"/>
        </w:rPr>
      </w:pPr>
      <w:r>
        <w:rPr>
          <w:b/>
          <w:bCs/>
          <w:i/>
          <w:iCs/>
          <w:sz w:val="18"/>
          <w:szCs w:val="18"/>
        </w:rPr>
        <w:t>OBIETTIVO DEL CORSO E RISULTATI DI APPRENDIMENTO ATTESI</w:t>
      </w:r>
    </w:p>
    <w:p w:rsidR="00D657E9" w:rsidRDefault="00D657E9" w:rsidP="00D657E9">
      <w:pPr>
        <w:tabs>
          <w:tab w:val="clear" w:pos="284"/>
        </w:tabs>
        <w:spacing w:line="240" w:lineRule="exact"/>
      </w:pPr>
      <w:r>
        <w:t>Il corso si propone di fornire i contenuti disciplinari essenziali della geometria piana e solida e di dare alcuni spunti didattici ai futuri insegnanti. Si auspica che essi, sostenuti dalle competenze acquisite nel corso, possano accompagnare gli alunni della scuola dell’infanzia ad un corretto approccio ai concetti geometrici e offrire un efficace insegnamento degli stessi nella scuola primaria.</w:t>
      </w:r>
    </w:p>
    <w:p w:rsidR="00D657E9" w:rsidRDefault="00D657E9" w:rsidP="00D657E9">
      <w:pPr>
        <w:tabs>
          <w:tab w:val="clear" w:pos="284"/>
        </w:tabs>
        <w:spacing w:line="240" w:lineRule="exact"/>
      </w:pPr>
      <w:r>
        <w:t>Al termine dell’insegnamento lo studente sarà in grado di:</w:t>
      </w:r>
    </w:p>
    <w:p w:rsidR="00D657E9" w:rsidRDefault="00D657E9" w:rsidP="00D657E9">
      <w:pPr>
        <w:tabs>
          <w:tab w:val="clear" w:pos="284"/>
        </w:tabs>
        <w:spacing w:line="240" w:lineRule="exact"/>
        <w:ind w:left="284" w:hanging="284"/>
      </w:pPr>
      <w:r>
        <w:t>1.</w:t>
      </w:r>
      <w:r>
        <w:tab/>
        <w:t>Individuare i concetti fondanti la geometria euclidea e coglierne il significato e il ruolo nel processo di insegnamento e apprendimento.</w:t>
      </w:r>
    </w:p>
    <w:p w:rsidR="00D657E9" w:rsidRDefault="00D657E9" w:rsidP="00D657E9">
      <w:pPr>
        <w:tabs>
          <w:tab w:val="clear" w:pos="284"/>
        </w:tabs>
        <w:spacing w:line="240" w:lineRule="exact"/>
        <w:ind w:left="284" w:hanging="284"/>
      </w:pPr>
      <w:r>
        <w:t>2.</w:t>
      </w:r>
      <w:r>
        <w:tab/>
        <w:t>Presentare in modo chiaro, coerente e con il linguaggio specifico i concetti appresi.</w:t>
      </w:r>
    </w:p>
    <w:p w:rsidR="00D657E9" w:rsidRDefault="00D657E9" w:rsidP="00D657E9">
      <w:pPr>
        <w:tabs>
          <w:tab w:val="clear" w:pos="284"/>
        </w:tabs>
        <w:spacing w:line="240" w:lineRule="exact"/>
        <w:ind w:left="284" w:hanging="284"/>
      </w:pPr>
      <w:r>
        <w:t>3.</w:t>
      </w:r>
      <w:r>
        <w:tab/>
        <w:t>Valutare e individuare azioni di insegnamento efficaci.</w:t>
      </w:r>
    </w:p>
    <w:p w:rsidR="00D657E9" w:rsidRDefault="00D657E9" w:rsidP="00D657E9">
      <w:pPr>
        <w:tabs>
          <w:tab w:val="clear" w:pos="284"/>
        </w:tabs>
        <w:spacing w:line="240" w:lineRule="exact"/>
        <w:ind w:left="284" w:hanging="284"/>
      </w:pPr>
      <w:r>
        <w:t>4.</w:t>
      </w:r>
      <w:r>
        <w:tab/>
        <w:t>Analizzare criticamente proposte didattiche per individuare punti di forza e di debolezza, nonché errori.</w:t>
      </w:r>
    </w:p>
    <w:p w:rsidR="00D657E9" w:rsidRDefault="00D657E9" w:rsidP="00D657E9">
      <w:pPr>
        <w:tabs>
          <w:tab w:val="clear" w:pos="284"/>
        </w:tabs>
        <w:spacing w:line="240" w:lineRule="exact"/>
        <w:ind w:left="284" w:hanging="284"/>
      </w:pPr>
      <w:r>
        <w:t>5.</w:t>
      </w:r>
      <w:r>
        <w:tab/>
        <w:t>Conoscere le Rilevazioni Nazionali INVALSI di matematica e saperli sfruttare come stimolo per l’apprendimento dei propri futuri studenti.</w:t>
      </w:r>
    </w:p>
    <w:p w:rsidR="002265B0" w:rsidRDefault="00164DB3">
      <w:pPr>
        <w:spacing w:before="240" w:after="120" w:line="240" w:lineRule="exact"/>
        <w:rPr>
          <w:b/>
          <w:bCs/>
          <w:i/>
          <w:iCs/>
          <w:sz w:val="18"/>
          <w:szCs w:val="18"/>
        </w:rPr>
      </w:pPr>
      <w:r>
        <w:rPr>
          <w:b/>
          <w:bCs/>
          <w:i/>
          <w:iCs/>
          <w:sz w:val="18"/>
          <w:szCs w:val="18"/>
        </w:rPr>
        <w:t>PROGRAMMA DEL CORSO</w:t>
      </w:r>
    </w:p>
    <w:p w:rsidR="00D657E9" w:rsidRDefault="00D657E9" w:rsidP="00D657E9">
      <w:pPr>
        <w:tabs>
          <w:tab w:val="clear" w:pos="284"/>
        </w:tabs>
        <w:spacing w:line="240" w:lineRule="exact"/>
      </w:pPr>
      <w:r>
        <w:t>Sulla base delle “Indicazioni Nazionali per il curricolo della scuola dell’infanzia e del primo ciclo d’istruzione”, gli argomenti trattati saranno i seguenti:</w:t>
      </w:r>
    </w:p>
    <w:p w:rsidR="00D657E9" w:rsidRDefault="00D657E9" w:rsidP="00D657E9">
      <w:pPr>
        <w:tabs>
          <w:tab w:val="clear" w:pos="284"/>
        </w:tabs>
        <w:spacing w:line="240" w:lineRule="exact"/>
      </w:pPr>
    </w:p>
    <w:p w:rsidR="00D657E9" w:rsidRDefault="00D657E9" w:rsidP="00D657E9">
      <w:pPr>
        <w:tabs>
          <w:tab w:val="clear" w:pos="284"/>
        </w:tabs>
        <w:spacing w:line="240" w:lineRule="exact"/>
        <w:ind w:left="284" w:hanging="284"/>
      </w:pPr>
      <w:r>
        <w:t>–</w:t>
      </w:r>
      <w:r>
        <w:tab/>
        <w:t>lo spazio fisico (localizzazioni, percorsi, sistemi di riferimento);</w:t>
      </w:r>
    </w:p>
    <w:p w:rsidR="00D657E9" w:rsidRDefault="00D657E9" w:rsidP="00D657E9">
      <w:pPr>
        <w:tabs>
          <w:tab w:val="clear" w:pos="284"/>
        </w:tabs>
        <w:spacing w:line="240" w:lineRule="exact"/>
        <w:ind w:left="284" w:hanging="284"/>
      </w:pPr>
      <w:r>
        <w:t>–</w:t>
      </w:r>
      <w:r>
        <w:tab/>
        <w:t>lo spazio geometrico (Elementi di Euclide, rappresentazione degli enti);</w:t>
      </w:r>
    </w:p>
    <w:p w:rsidR="00D657E9" w:rsidRDefault="00D657E9" w:rsidP="00D657E9">
      <w:pPr>
        <w:tabs>
          <w:tab w:val="clear" w:pos="284"/>
        </w:tabs>
        <w:spacing w:line="240" w:lineRule="exact"/>
        <w:ind w:left="284" w:hanging="284"/>
      </w:pPr>
      <w:r>
        <w:t>–</w:t>
      </w:r>
      <w:r>
        <w:tab/>
        <w:t>gli enti geometrici fondamentali;</w:t>
      </w:r>
    </w:p>
    <w:p w:rsidR="00D657E9" w:rsidRDefault="00D657E9" w:rsidP="00D657E9">
      <w:pPr>
        <w:tabs>
          <w:tab w:val="clear" w:pos="284"/>
        </w:tabs>
        <w:spacing w:line="240" w:lineRule="exact"/>
        <w:ind w:left="284" w:hanging="284"/>
      </w:pPr>
      <w:r>
        <w:t>–</w:t>
      </w:r>
      <w:r>
        <w:tab/>
        <w:t>le semirette e i segmenti;</w:t>
      </w:r>
    </w:p>
    <w:p w:rsidR="00D657E9" w:rsidRDefault="00D657E9" w:rsidP="00D657E9">
      <w:pPr>
        <w:tabs>
          <w:tab w:val="clear" w:pos="284"/>
        </w:tabs>
        <w:spacing w:line="240" w:lineRule="exact"/>
        <w:ind w:left="284" w:hanging="284"/>
      </w:pPr>
      <w:r>
        <w:t>–</w:t>
      </w:r>
      <w:r>
        <w:tab/>
        <w:t>gli angoli;</w:t>
      </w:r>
    </w:p>
    <w:p w:rsidR="00D657E9" w:rsidRDefault="00D657E9" w:rsidP="00D657E9">
      <w:pPr>
        <w:tabs>
          <w:tab w:val="clear" w:pos="284"/>
        </w:tabs>
        <w:spacing w:line="240" w:lineRule="exact"/>
        <w:ind w:left="284" w:hanging="284"/>
      </w:pPr>
      <w:r>
        <w:t>–</w:t>
      </w:r>
      <w:r>
        <w:tab/>
        <w:t>la perpendicolarità e le distanze;</w:t>
      </w:r>
    </w:p>
    <w:p w:rsidR="00D657E9" w:rsidRDefault="00D657E9" w:rsidP="00D657E9">
      <w:pPr>
        <w:tabs>
          <w:tab w:val="clear" w:pos="284"/>
        </w:tabs>
        <w:spacing w:line="240" w:lineRule="exact"/>
        <w:ind w:left="284" w:hanging="284"/>
      </w:pPr>
      <w:r>
        <w:t>–</w:t>
      </w:r>
      <w:r>
        <w:tab/>
        <w:t>le trasformazioni del piano;</w:t>
      </w:r>
    </w:p>
    <w:p w:rsidR="00D657E9" w:rsidRDefault="00D657E9" w:rsidP="00D657E9">
      <w:pPr>
        <w:tabs>
          <w:tab w:val="clear" w:pos="284"/>
        </w:tabs>
        <w:spacing w:line="240" w:lineRule="exact"/>
        <w:ind w:left="284" w:hanging="284"/>
      </w:pPr>
      <w:r>
        <w:t>–</w:t>
      </w:r>
      <w:r>
        <w:tab/>
        <w:t>i poligoni (aspetti generali: vertici, lati, diagonali e angoli interni ed esterni);</w:t>
      </w:r>
    </w:p>
    <w:p w:rsidR="00D657E9" w:rsidRDefault="00D657E9" w:rsidP="00D657E9">
      <w:pPr>
        <w:tabs>
          <w:tab w:val="clear" w:pos="284"/>
        </w:tabs>
        <w:spacing w:line="240" w:lineRule="exact"/>
        <w:ind w:left="284" w:hanging="284"/>
      </w:pPr>
      <w:r>
        <w:t>–</w:t>
      </w:r>
      <w:r>
        <w:tab/>
        <w:t>i poligoni particolari (triangoli e quadrilateri);</w:t>
      </w:r>
    </w:p>
    <w:p w:rsidR="00D657E9" w:rsidRDefault="00D657E9" w:rsidP="00D657E9">
      <w:pPr>
        <w:tabs>
          <w:tab w:val="clear" w:pos="284"/>
        </w:tabs>
        <w:spacing w:line="240" w:lineRule="exact"/>
        <w:ind w:left="284" w:hanging="284"/>
      </w:pPr>
      <w:r>
        <w:t>–</w:t>
      </w:r>
      <w:r>
        <w:tab/>
        <w:t>il perimetro, l’altezza e l’area;</w:t>
      </w:r>
    </w:p>
    <w:p w:rsidR="00D657E9" w:rsidRDefault="00D657E9" w:rsidP="00D657E9">
      <w:pPr>
        <w:tabs>
          <w:tab w:val="clear" w:pos="284"/>
        </w:tabs>
        <w:spacing w:line="240" w:lineRule="exact"/>
        <w:ind w:left="284" w:hanging="284"/>
      </w:pPr>
      <w:r>
        <w:t>–</w:t>
      </w:r>
      <w:r>
        <w:tab/>
        <w:t>il cerchio e i poligoni regolari;</w:t>
      </w:r>
    </w:p>
    <w:p w:rsidR="00D657E9" w:rsidRDefault="00D657E9" w:rsidP="00D657E9">
      <w:pPr>
        <w:tabs>
          <w:tab w:val="clear" w:pos="284"/>
        </w:tabs>
        <w:spacing w:line="240" w:lineRule="exact"/>
        <w:ind w:left="284" w:hanging="284"/>
      </w:pPr>
      <w:r>
        <w:t>–</w:t>
      </w:r>
      <w:r>
        <w:tab/>
        <w:t>la geometria dello spazio (rette, piani, diedri, angoloidi, poliedri e solidi di rotazione).</w:t>
      </w:r>
    </w:p>
    <w:p w:rsidR="002265B0" w:rsidRDefault="00164DB3">
      <w:pPr>
        <w:spacing w:before="240" w:after="120" w:line="240" w:lineRule="exact"/>
        <w:rPr>
          <w:b/>
          <w:bCs/>
          <w:i/>
          <w:iCs/>
          <w:sz w:val="18"/>
          <w:szCs w:val="18"/>
        </w:rPr>
      </w:pPr>
      <w:r>
        <w:rPr>
          <w:b/>
          <w:bCs/>
          <w:i/>
          <w:iCs/>
          <w:sz w:val="18"/>
          <w:szCs w:val="18"/>
        </w:rPr>
        <w:lastRenderedPageBreak/>
        <w:t>BIBLIOGRAFIA</w:t>
      </w:r>
      <w:r w:rsidR="00C7394B">
        <w:rPr>
          <w:rStyle w:val="Rimandonotaapidipagina"/>
          <w:b/>
          <w:bCs/>
          <w:i/>
          <w:iCs/>
          <w:sz w:val="18"/>
          <w:szCs w:val="18"/>
        </w:rPr>
        <w:footnoteReference w:id="1"/>
      </w:r>
    </w:p>
    <w:p w:rsidR="002265B0" w:rsidRDefault="00164DB3">
      <w:pPr>
        <w:tabs>
          <w:tab w:val="clear" w:pos="284"/>
        </w:tabs>
        <w:ind w:firstLine="284"/>
        <w:rPr>
          <w:sz w:val="18"/>
          <w:szCs w:val="18"/>
        </w:rPr>
      </w:pPr>
      <w:r>
        <w:rPr>
          <w:sz w:val="18"/>
          <w:szCs w:val="18"/>
        </w:rPr>
        <w:t>I testi di riferimento sono:</w:t>
      </w:r>
    </w:p>
    <w:p w:rsidR="002265B0" w:rsidRDefault="00164DB3">
      <w:pPr>
        <w:pStyle w:val="Paragrafoelenco"/>
        <w:numPr>
          <w:ilvl w:val="0"/>
          <w:numId w:val="2"/>
        </w:numPr>
        <w:spacing w:line="240" w:lineRule="exact"/>
        <w:rPr>
          <w:rFonts w:ascii="Times Roman" w:hAnsi="Times Roman" w:hint="eastAsia"/>
          <w:sz w:val="18"/>
          <w:szCs w:val="18"/>
        </w:rPr>
      </w:pPr>
      <w:r>
        <w:rPr>
          <w:rFonts w:ascii="Times Roman" w:hAnsi="Times Roman"/>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rsidR="002265B0" w:rsidRDefault="00164DB3">
      <w:pPr>
        <w:pStyle w:val="Paragrafoelenco"/>
        <w:numPr>
          <w:ilvl w:val="0"/>
          <w:numId w:val="3"/>
        </w:numPr>
        <w:spacing w:line="240" w:lineRule="exact"/>
        <w:rPr>
          <w:rFonts w:ascii="Times Roman" w:hAnsi="Times Roman" w:hint="eastAsia"/>
          <w:sz w:val="16"/>
          <w:szCs w:val="16"/>
        </w:rPr>
      </w:pPr>
      <w:r>
        <w:rPr>
          <w:rFonts w:ascii="Times Roman" w:hAnsi="Times Roman"/>
          <w:smallCaps/>
          <w:sz w:val="16"/>
          <w:szCs w:val="16"/>
        </w:rPr>
        <w:t>F. Baresi</w:t>
      </w:r>
      <w:r>
        <w:rPr>
          <w:rFonts w:ascii="Times Roman" w:hAnsi="Times Roman"/>
          <w:sz w:val="18"/>
          <w:szCs w:val="18"/>
        </w:rPr>
        <w:t>-</w:t>
      </w:r>
      <w:r>
        <w:rPr>
          <w:rFonts w:ascii="Times Roman" w:hAnsi="Times Roman"/>
          <w:smallCaps/>
          <w:sz w:val="16"/>
          <w:szCs w:val="16"/>
        </w:rPr>
        <w:t>L. Montagnoli</w:t>
      </w:r>
      <w:r>
        <w:rPr>
          <w:rFonts w:ascii="Times Roman" w:hAnsi="Times Roman"/>
          <w:sz w:val="18"/>
          <w:szCs w:val="18"/>
        </w:rPr>
        <w:t xml:space="preserve">, </w:t>
      </w:r>
      <w:r>
        <w:rPr>
          <w:rFonts w:ascii="Times Roman" w:hAnsi="Times Roman"/>
          <w:i/>
          <w:iCs/>
          <w:sz w:val="18"/>
          <w:szCs w:val="18"/>
        </w:rPr>
        <w:t>Istituzioni di Matematica</w:t>
      </w:r>
      <w:r>
        <w:rPr>
          <w:rFonts w:ascii="Times Roman" w:hAnsi="Times Roman"/>
          <w:sz w:val="18"/>
          <w:szCs w:val="18"/>
        </w:rPr>
        <w:t>, Studium Edizioni, Roma, 2019 (Capitoli: 11-22).</w:t>
      </w:r>
      <w:r w:rsidR="00C7394B">
        <w:rPr>
          <w:rFonts w:ascii="Times Roman" w:hAnsi="Times Roman"/>
          <w:sz w:val="18"/>
          <w:szCs w:val="18"/>
        </w:rPr>
        <w:t xml:space="preserve"> </w:t>
      </w:r>
      <w:hyperlink r:id="rId9" w:history="1">
        <w:r w:rsidR="00C7394B" w:rsidRPr="00C7394B">
          <w:rPr>
            <w:rStyle w:val="Collegamentoipertestuale"/>
            <w:rFonts w:cs="Times New Roman"/>
            <w:i/>
            <w:sz w:val="16"/>
            <w:szCs w:val="16"/>
          </w:rPr>
          <w:t>Acquista da VP</w:t>
        </w:r>
      </w:hyperlink>
      <w:bookmarkStart w:id="0" w:name="_GoBack"/>
      <w:bookmarkEnd w:id="0"/>
    </w:p>
    <w:p w:rsidR="002265B0" w:rsidRDefault="00164DB3">
      <w:pPr>
        <w:pStyle w:val="Paragrafoelenco"/>
        <w:numPr>
          <w:ilvl w:val="0"/>
          <w:numId w:val="4"/>
        </w:numPr>
        <w:spacing w:line="240" w:lineRule="exact"/>
        <w:rPr>
          <w:rFonts w:ascii="Times Roman" w:hAnsi="Times Roman" w:hint="eastAsia"/>
          <w:sz w:val="16"/>
          <w:szCs w:val="16"/>
        </w:rPr>
      </w:pPr>
      <w:r>
        <w:rPr>
          <w:rFonts w:ascii="Times Roman" w:hAnsi="Times Roman"/>
          <w:smallCaps/>
          <w:sz w:val="16"/>
          <w:szCs w:val="16"/>
        </w:rPr>
        <w:t>S. Crespi-M. Dalfabbro-L. Montagnoli-C. Panzeri,</w:t>
      </w:r>
      <w:r>
        <w:rPr>
          <w:rFonts w:ascii="Times Roman" w:hAnsi="Times Roman"/>
          <w:sz w:val="18"/>
          <w:szCs w:val="18"/>
        </w:rPr>
        <w:t xml:space="preserve"> </w:t>
      </w:r>
      <w:r>
        <w:rPr>
          <w:rFonts w:ascii="Times Roman" w:hAnsi="Times Roman"/>
          <w:i/>
          <w:iCs/>
          <w:sz w:val="18"/>
          <w:szCs w:val="18"/>
        </w:rPr>
        <w:t>Poligoni a tutto tondo</w:t>
      </w:r>
      <w:r>
        <w:rPr>
          <w:rFonts w:ascii="Times Roman" w:hAnsi="Times Roman"/>
          <w:sz w:val="18"/>
          <w:szCs w:val="18"/>
        </w:rPr>
        <w:t>, Morcelliana, Brescia (</w:t>
      </w:r>
      <w:r>
        <w:rPr>
          <w:rFonts w:ascii="Times Roman" w:hAnsi="Times Roman"/>
          <w:i/>
          <w:iCs/>
          <w:sz w:val="18"/>
          <w:szCs w:val="18"/>
        </w:rPr>
        <w:t>in corso di pubblicazione</w:t>
      </w:r>
      <w:r>
        <w:rPr>
          <w:rFonts w:ascii="Times Roman" w:hAnsi="Times Roman"/>
          <w:sz w:val="18"/>
          <w:szCs w:val="18"/>
        </w:rPr>
        <w:t>).</w:t>
      </w:r>
      <w:r w:rsidR="00C7394B">
        <w:rPr>
          <w:rFonts w:ascii="Times Roman" w:hAnsi="Times Roman"/>
          <w:sz w:val="18"/>
          <w:szCs w:val="18"/>
        </w:rPr>
        <w:t xml:space="preserve"> </w:t>
      </w:r>
      <w:hyperlink r:id="rId10" w:history="1">
        <w:r w:rsidR="00C7394B" w:rsidRPr="00C7394B">
          <w:rPr>
            <w:rStyle w:val="Collegamentoipertestuale"/>
            <w:rFonts w:cs="Times New Roman"/>
            <w:i/>
            <w:sz w:val="16"/>
            <w:szCs w:val="16"/>
          </w:rPr>
          <w:t>Acquista da VP</w:t>
        </w:r>
      </w:hyperlink>
    </w:p>
    <w:p w:rsidR="002265B0" w:rsidRDefault="00164DB3">
      <w:pPr>
        <w:pStyle w:val="Paragrafoelenco"/>
        <w:spacing w:line="240" w:lineRule="exact"/>
        <w:ind w:left="34" w:hanging="34"/>
        <w:rPr>
          <w:rFonts w:ascii="Times Roman" w:eastAsia="Times Roman" w:hAnsi="Times Roman" w:cs="Times Roman"/>
          <w:sz w:val="18"/>
          <w:szCs w:val="18"/>
        </w:rPr>
      </w:pPr>
      <w:r>
        <w:rPr>
          <w:rFonts w:ascii="Times Roman" w:hAnsi="Times Roman"/>
          <w:sz w:val="18"/>
          <w:szCs w:val="18"/>
        </w:rPr>
        <w:t xml:space="preserve">Si suggerisce anche la consultazione dei testi e delle guide alla lettura delle rilevazioni INVALSI, presenti sul sito: </w:t>
      </w:r>
      <w:hyperlink r:id="rId11" w:history="1">
        <w:r>
          <w:rPr>
            <w:rStyle w:val="Hyperlink0"/>
            <w:rFonts w:ascii="Times Roman" w:hAnsi="Times Roman"/>
            <w:sz w:val="16"/>
            <w:szCs w:val="16"/>
          </w:rPr>
          <w:t>www.invalsi.it</w:t>
        </w:r>
      </w:hyperlink>
      <w:r>
        <w:rPr>
          <w:rFonts w:ascii="Times Roman" w:hAnsi="Times Roman"/>
          <w:sz w:val="18"/>
          <w:szCs w:val="18"/>
        </w:rPr>
        <w:t xml:space="preserve"> e nel database </w:t>
      </w:r>
      <w:hyperlink r:id="rId12" w:history="1">
        <w:r>
          <w:rPr>
            <w:rStyle w:val="Hyperlink0"/>
            <w:rFonts w:ascii="Times Roman" w:hAnsi="Times Roman"/>
            <w:sz w:val="16"/>
            <w:szCs w:val="16"/>
          </w:rPr>
          <w:t>www.gestinv.it</w:t>
        </w:r>
      </w:hyperlink>
      <w:r>
        <w:rPr>
          <w:rFonts w:ascii="Times Roman" w:hAnsi="Times Roman"/>
          <w:sz w:val="18"/>
          <w:szCs w:val="18"/>
        </w:rPr>
        <w:t>. Tali materiali verranno infatti commentati durante le lezioni e saranno oggetto di valutazione, in riferimento alla capacità critica dello studente di analizzare gli errori più frequenti in cui gli alunni incorrono.</w:t>
      </w:r>
    </w:p>
    <w:p w:rsidR="002265B0" w:rsidRDefault="00164DB3">
      <w:pPr>
        <w:spacing w:before="240" w:after="120"/>
        <w:rPr>
          <w:b/>
          <w:bCs/>
          <w:i/>
          <w:iCs/>
          <w:sz w:val="18"/>
          <w:szCs w:val="18"/>
        </w:rPr>
      </w:pPr>
      <w:r>
        <w:rPr>
          <w:b/>
          <w:bCs/>
          <w:i/>
          <w:iCs/>
          <w:sz w:val="18"/>
          <w:szCs w:val="18"/>
        </w:rPr>
        <w:t>DIDATTICA DEL CORSO</w:t>
      </w:r>
    </w:p>
    <w:p w:rsidR="00D657E9" w:rsidRDefault="00D657E9" w:rsidP="00D657E9">
      <w:pPr>
        <w:tabs>
          <w:tab w:val="clear" w:pos="284"/>
        </w:tabs>
        <w:ind w:firstLine="284"/>
        <w:rPr>
          <w:rFonts w:ascii="Times Roman" w:eastAsia="Times Roman" w:hAnsi="Times Roman" w:cs="Times Roman"/>
          <w:sz w:val="18"/>
          <w:szCs w:val="18"/>
        </w:rPr>
      </w:pPr>
      <w:r>
        <w:rPr>
          <w:rFonts w:ascii="Times Roman" w:hAnsi="Times Roman"/>
          <w:sz w:val="18"/>
          <w:szCs w:val="18"/>
        </w:rPr>
        <w:t>Il corso verrà svolto in aula</w:t>
      </w:r>
    </w:p>
    <w:p w:rsidR="00D657E9" w:rsidRDefault="00D657E9" w:rsidP="00D657E9">
      <w:pPr>
        <w:pStyle w:val="Testo2"/>
        <w:tabs>
          <w:tab w:val="left" w:pos="567"/>
        </w:tabs>
        <w:rPr>
          <w:rFonts w:hint="eastAsia"/>
        </w:rPr>
      </w:pPr>
      <w:r>
        <w:t>–</w:t>
      </w:r>
      <w:r>
        <w:tab/>
        <w:t>con lezioni frontali o dialogate supportate dalla proiezione di slide, video e dall’utilizzo anche di altri applicativi;</w:t>
      </w:r>
    </w:p>
    <w:p w:rsidR="00D657E9" w:rsidRDefault="00D657E9" w:rsidP="00D657E9">
      <w:pPr>
        <w:pStyle w:val="Testo2"/>
        <w:tabs>
          <w:tab w:val="left" w:pos="567"/>
        </w:tabs>
        <w:rPr>
          <w:rFonts w:hint="eastAsia"/>
        </w:rPr>
      </w:pPr>
      <w:r>
        <w:t>–</w:t>
      </w:r>
      <w:r>
        <w:tab/>
        <w:t>con la proposta di test, quiz ed esercitazioni di gruppo.</w:t>
      </w:r>
    </w:p>
    <w:p w:rsidR="002265B0" w:rsidRDefault="00D657E9" w:rsidP="00D657E9">
      <w:pPr>
        <w:pStyle w:val="Testo2"/>
        <w:rPr>
          <w:rFonts w:hint="eastAsia"/>
        </w:rPr>
      </w:pPr>
      <w:r>
        <w:t>Verranno analizzati materiali didattici cartacei o presenti in Internet e gli esiti di alcuni quesiti delle Rilevazioni Nazionali</w:t>
      </w:r>
      <w:r w:rsidR="00164DB3">
        <w:t>.</w:t>
      </w:r>
    </w:p>
    <w:p w:rsidR="002265B0" w:rsidRDefault="00164DB3">
      <w:pPr>
        <w:spacing w:before="240" w:after="120"/>
        <w:rPr>
          <w:b/>
          <w:bCs/>
          <w:i/>
          <w:iCs/>
          <w:sz w:val="18"/>
          <w:szCs w:val="18"/>
        </w:rPr>
      </w:pPr>
      <w:r>
        <w:rPr>
          <w:b/>
          <w:bCs/>
          <w:i/>
          <w:iCs/>
          <w:sz w:val="18"/>
          <w:szCs w:val="18"/>
        </w:rPr>
        <w:t>METODO E CRITERI DI VALUTAZIONE</w:t>
      </w:r>
    </w:p>
    <w:p w:rsidR="00D657E9" w:rsidRDefault="00D657E9" w:rsidP="00D657E9">
      <w:pPr>
        <w:pStyle w:val="Testo2"/>
        <w:rPr>
          <w:rFonts w:hint="eastAsia"/>
        </w:rPr>
      </w:pPr>
      <w:r>
        <w:t xml:space="preserve">Sono oggetto di valutazione tutti i contenuti presentati a lezione (tutti i materiali caricati sulla piattaforma </w:t>
      </w:r>
      <w:proofErr w:type="spellStart"/>
      <w:r>
        <w:t>Blackboard</w:t>
      </w:r>
      <w:proofErr w:type="spellEnd"/>
      <w:r>
        <w:t>) e inclusi nella bibliografia.</w:t>
      </w:r>
    </w:p>
    <w:p w:rsidR="00D657E9" w:rsidRDefault="00D657E9" w:rsidP="00D657E9">
      <w:pPr>
        <w:pStyle w:val="Testo2"/>
        <w:rPr>
          <w:rFonts w:hint="eastAsia"/>
        </w:rPr>
      </w:pPr>
      <w:r>
        <w:t xml:space="preserve">La registrazione </w:t>
      </w:r>
      <w:proofErr w:type="spellStart"/>
      <w:r>
        <w:t>dell</w:t>
      </w:r>
      <w:proofErr w:type="spellEnd"/>
      <w:r>
        <w:rPr>
          <w:rtl/>
        </w:rPr>
        <w:t>’</w:t>
      </w:r>
      <w:r>
        <w:t xml:space="preserve">esame è vincolata al risultato positivo ottenuto nella valutazione </w:t>
      </w:r>
      <w:proofErr w:type="spellStart"/>
      <w:r>
        <w:t>dell</w:t>
      </w:r>
      <w:proofErr w:type="spellEnd"/>
      <w:r>
        <w:rPr>
          <w:rtl/>
        </w:rPr>
        <w:t>’</w:t>
      </w:r>
      <w:r>
        <w:t xml:space="preserve">elaborato frutto </w:t>
      </w:r>
      <w:proofErr w:type="spellStart"/>
      <w:r>
        <w:t>dell</w:t>
      </w:r>
      <w:proofErr w:type="spellEnd"/>
      <w:r>
        <w:rPr>
          <w:rtl/>
        </w:rPr>
        <w:t>’</w:t>
      </w:r>
      <w:r>
        <w:t>attività</w:t>
      </w:r>
      <w:r>
        <w:rPr>
          <w:lang w:val="fr-FR"/>
        </w:rPr>
        <w:t xml:space="preserve"> </w:t>
      </w:r>
      <w:r>
        <w:t>di laboratorio. Contestualmente agli incontri di laboratorio viene presentata agli studenti la griglia di valutazione a cui i docenti di laboratorio si attengono per esprimere la valutazione del compito autentico.</w:t>
      </w:r>
    </w:p>
    <w:p w:rsidR="00D657E9" w:rsidRDefault="00D657E9" w:rsidP="00D657E9">
      <w:pPr>
        <w:pStyle w:val="Testo2"/>
        <w:rPr>
          <w:rFonts w:hint="eastAsia"/>
        </w:rPr>
      </w:pPr>
      <w:r>
        <w:t>L</w:t>
      </w:r>
      <w:r>
        <w:rPr>
          <w:rtl/>
        </w:rPr>
        <w:t>’</w:t>
      </w:r>
      <w:r>
        <w:t xml:space="preserve">esame del corso è costituito da un test somministrato tramite la piattaforma </w:t>
      </w:r>
      <w:proofErr w:type="spellStart"/>
      <w:r>
        <w:t>Blackboard</w:t>
      </w:r>
      <w:proofErr w:type="spellEnd"/>
      <w:r>
        <w:t>. Il test prevede alcune (circa 20) domande a risposta chiusa e altre (circa 2) a risposta aperta. La prova d'esame verte sui contenuti dell'intero corso. Il test è considerato superato con il conseguimento di almeno 18 punti su 30.</w:t>
      </w:r>
    </w:p>
    <w:p w:rsidR="002265B0" w:rsidRDefault="00D657E9" w:rsidP="00D657E9">
      <w:pPr>
        <w:pStyle w:val="Testo2"/>
        <w:rPr>
          <w:rFonts w:hint="eastAsia"/>
        </w:rPr>
      </w:pPr>
      <w:r>
        <w:t>L</w:t>
      </w:r>
      <w:r>
        <w:rPr>
          <w:rtl/>
        </w:rPr>
        <w:t>’</w:t>
      </w:r>
      <w:r>
        <w:t>esito del test viene incrementato di 2 punti se la valutazione del laboratorio è A e di 1 punto se è B</w:t>
      </w:r>
      <w:r w:rsidR="00164DB3">
        <w:t>.</w:t>
      </w:r>
    </w:p>
    <w:p w:rsidR="002265B0" w:rsidRDefault="00164DB3">
      <w:pPr>
        <w:spacing w:before="240" w:after="120" w:line="240" w:lineRule="exact"/>
        <w:rPr>
          <w:b/>
          <w:bCs/>
          <w:i/>
          <w:iCs/>
          <w:sz w:val="18"/>
          <w:szCs w:val="18"/>
        </w:rPr>
      </w:pPr>
      <w:r>
        <w:rPr>
          <w:b/>
          <w:bCs/>
          <w:i/>
          <w:iCs/>
          <w:sz w:val="18"/>
          <w:szCs w:val="18"/>
        </w:rPr>
        <w:lastRenderedPageBreak/>
        <w:t>AVVERTENZE E PREREQUISITI</w:t>
      </w:r>
    </w:p>
    <w:p w:rsidR="002265B0" w:rsidRDefault="00D657E9">
      <w:pPr>
        <w:tabs>
          <w:tab w:val="clear" w:pos="284"/>
        </w:tabs>
        <w:ind w:firstLine="284"/>
        <w:rPr>
          <w:sz w:val="18"/>
          <w:szCs w:val="18"/>
        </w:rPr>
      </w:pPr>
      <w:r>
        <w:rPr>
          <w:sz w:val="18"/>
          <w:szCs w:val="18"/>
        </w:rPr>
        <w:t>L’insegnamento non necessita di particolari prerequisiti, poiché i contenuti proposti riguardano la geometria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r w:rsidR="00164DB3">
        <w:rPr>
          <w:sz w:val="18"/>
          <w:szCs w:val="18"/>
        </w:rPr>
        <w:t>.</w:t>
      </w:r>
    </w:p>
    <w:p w:rsidR="00D657E9" w:rsidRDefault="00D657E9">
      <w:pPr>
        <w:tabs>
          <w:tab w:val="clear" w:pos="284"/>
        </w:tabs>
        <w:ind w:firstLine="284"/>
        <w:rPr>
          <w:sz w:val="18"/>
          <w:szCs w:val="18"/>
        </w:rPr>
      </w:pPr>
      <w:r w:rsidRPr="000A6B73">
        <w:rPr>
          <w:rFonts w:cs="Times New Roman"/>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265B0" w:rsidRDefault="00164DB3">
      <w:pPr>
        <w:tabs>
          <w:tab w:val="clear" w:pos="284"/>
        </w:tabs>
        <w:spacing w:before="120"/>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rsidR="002265B0" w:rsidRDefault="00164DB3">
      <w:pPr>
        <w:tabs>
          <w:tab w:val="clear" w:pos="284"/>
        </w:tabs>
        <w:ind w:firstLine="284"/>
      </w:pPr>
      <w:r>
        <w:rPr>
          <w:rFonts w:ascii="Times Roman" w:hAnsi="Times Roman"/>
          <w:sz w:val="18"/>
          <w:szCs w:val="18"/>
        </w:rPr>
        <w:t xml:space="preserve">La Prof.ssa Laura Montagnoli riceve gli studenti su appuntamento (e-mail: </w:t>
      </w:r>
      <w:r>
        <w:rPr>
          <w:rFonts w:ascii="Times Roman" w:hAnsi="Times Roman"/>
          <w:i/>
          <w:iCs/>
          <w:sz w:val="18"/>
          <w:szCs w:val="18"/>
          <w:u w:color="0000FF"/>
        </w:rPr>
        <w:t>laura.montagnoli@unicatt.it</w:t>
      </w:r>
      <w:r>
        <w:rPr>
          <w:rFonts w:ascii="Times Roman" w:hAnsi="Times Roman"/>
          <w:sz w:val="18"/>
          <w:szCs w:val="18"/>
        </w:rPr>
        <w:t>) ogni lunedì del periodo delle lezioni presso l’aula docenti della sede Gemelli.</w:t>
      </w:r>
    </w:p>
    <w:sectPr w:rsidR="002265B0">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12" w:rsidRDefault="00164DB3">
      <w:pPr>
        <w:spacing w:line="240" w:lineRule="auto"/>
      </w:pPr>
      <w:r>
        <w:separator/>
      </w:r>
    </w:p>
  </w:endnote>
  <w:endnote w:type="continuationSeparator" w:id="0">
    <w:p w:rsidR="002F6B12" w:rsidRDefault="0016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B0" w:rsidRDefault="002265B0">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12" w:rsidRDefault="00164DB3">
      <w:pPr>
        <w:spacing w:line="240" w:lineRule="auto"/>
      </w:pPr>
      <w:r>
        <w:separator/>
      </w:r>
    </w:p>
  </w:footnote>
  <w:footnote w:type="continuationSeparator" w:id="0">
    <w:p w:rsidR="002F6B12" w:rsidRDefault="00164DB3">
      <w:pPr>
        <w:spacing w:line="240" w:lineRule="auto"/>
      </w:pPr>
      <w:r>
        <w:continuationSeparator/>
      </w:r>
    </w:p>
  </w:footnote>
  <w:footnote w:id="1">
    <w:p w:rsidR="00C7394B" w:rsidRDefault="00C7394B">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B0" w:rsidRDefault="002265B0">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55A7"/>
    <w:multiLevelType w:val="hybridMultilevel"/>
    <w:tmpl w:val="47AAD832"/>
    <w:styleLink w:val="Stileimportato1"/>
    <w:lvl w:ilvl="0" w:tplc="6F74558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4AE5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0EB72E">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4AADEA">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B2AAB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EC2CB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3A5E4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98389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B2D4B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C6665D3"/>
    <w:multiLevelType w:val="hybridMultilevel"/>
    <w:tmpl w:val="47AAD832"/>
    <w:numStyleLink w:val="Stileimportato1"/>
  </w:abstractNum>
  <w:num w:numId="1">
    <w:abstractNumId w:val="0"/>
  </w:num>
  <w:num w:numId="2">
    <w:abstractNumId w:val="1"/>
  </w:num>
  <w:num w:numId="3">
    <w:abstractNumId w:val="1"/>
    <w:lvlOverride w:ilvl="0">
      <w:lvl w:ilvl="0" w:tplc="EE7CCAD0">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2D964A28">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45E275B8">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A872B3BC">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774B50C">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2134156A">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5D86DE8">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F726580">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FF0E2BA">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1"/>
    <w:lvlOverride w:ilvl="0">
      <w:lvl w:ilvl="0" w:tplc="EE7CCAD0">
        <w:start w:val="1"/>
        <w:numFmt w:val="bullet"/>
        <w:lvlText w:val="–"/>
        <w:lvlJc w:val="left"/>
        <w:pPr>
          <w:tabs>
            <w:tab w:val="num" w:pos="284"/>
          </w:tabs>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2D964A28">
        <w:start w:val="1"/>
        <w:numFmt w:val="bullet"/>
        <w:lvlText w:val="o"/>
        <w:lvlJc w:val="left"/>
        <w:pPr>
          <w:tabs>
            <w:tab w:val="num" w:pos="1040"/>
          </w:tabs>
          <w:ind w:left="10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45E275B8">
        <w:start w:val="1"/>
        <w:numFmt w:val="bullet"/>
        <w:lvlText w:val="▪"/>
        <w:lvlJc w:val="left"/>
        <w:pPr>
          <w:tabs>
            <w:tab w:val="num" w:pos="1760"/>
          </w:tabs>
          <w:ind w:left="179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A872B3BC">
        <w:start w:val="1"/>
        <w:numFmt w:val="bullet"/>
        <w:lvlText w:val="•"/>
        <w:lvlJc w:val="left"/>
        <w:pPr>
          <w:tabs>
            <w:tab w:val="num" w:pos="2480"/>
          </w:tabs>
          <w:ind w:left="251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774B50C">
        <w:start w:val="1"/>
        <w:numFmt w:val="bullet"/>
        <w:lvlText w:val="o"/>
        <w:lvlJc w:val="left"/>
        <w:pPr>
          <w:tabs>
            <w:tab w:val="num" w:pos="3199"/>
          </w:tabs>
          <w:ind w:left="32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2134156A">
        <w:start w:val="1"/>
        <w:numFmt w:val="bullet"/>
        <w:lvlText w:val="▪"/>
        <w:lvlJc w:val="left"/>
        <w:pPr>
          <w:tabs>
            <w:tab w:val="num" w:pos="3919"/>
          </w:tabs>
          <w:ind w:left="39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5D86DE8">
        <w:start w:val="1"/>
        <w:numFmt w:val="bullet"/>
        <w:lvlText w:val="•"/>
        <w:lvlJc w:val="left"/>
        <w:pPr>
          <w:tabs>
            <w:tab w:val="num" w:pos="4640"/>
          </w:tabs>
          <w:ind w:left="46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F726580">
        <w:start w:val="1"/>
        <w:numFmt w:val="bullet"/>
        <w:lvlText w:val="o"/>
        <w:lvlJc w:val="left"/>
        <w:pPr>
          <w:tabs>
            <w:tab w:val="num" w:pos="5360"/>
          </w:tabs>
          <w:ind w:left="539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FF0E2BA">
        <w:start w:val="1"/>
        <w:numFmt w:val="bullet"/>
        <w:lvlText w:val="▪"/>
        <w:lvlJc w:val="left"/>
        <w:pPr>
          <w:tabs>
            <w:tab w:val="num" w:pos="6080"/>
          </w:tabs>
          <w:ind w:left="611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0"/>
    <w:rsid w:val="00164DB3"/>
    <w:rsid w:val="002265B0"/>
    <w:rsid w:val="002F6B12"/>
    <w:rsid w:val="00437EEF"/>
    <w:rsid w:val="00C7394B"/>
    <w:rsid w:val="00D657E9"/>
    <w:rsid w:val="00DF4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C7394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7394B"/>
    <w:rPr>
      <w:rFonts w:cs="Arial Unicode MS"/>
      <w:color w:val="000000"/>
      <w:u w:color="000000"/>
    </w:rPr>
  </w:style>
  <w:style w:type="character" w:styleId="Rimandonotaapidipagina">
    <w:name w:val="footnote reference"/>
    <w:basedOn w:val="Carpredefinitoparagrafo"/>
    <w:uiPriority w:val="99"/>
    <w:semiHidden/>
    <w:unhideWhenUsed/>
    <w:rsid w:val="00C739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C7394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7394B"/>
    <w:rPr>
      <w:rFonts w:cs="Arial Unicode MS"/>
      <w:color w:val="000000"/>
      <w:u w:color="000000"/>
    </w:rPr>
  </w:style>
  <w:style w:type="character" w:styleId="Rimandonotaapidipagina">
    <w:name w:val="footnote reference"/>
    <w:basedOn w:val="Carpredefinitoparagrafo"/>
    <w:uiPriority w:val="99"/>
    <w:semiHidden/>
    <w:unhideWhenUsed/>
    <w:rsid w:val="00C73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in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als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laura-montagnoli-serena-crespi-maria-dal-fabbro/poligoni-a-tutto-tondo-didattica-della-geometria-nella-scuola-del-primo-ciclo-9788828401681-685833.html" TargetMode="External"/><Relationship Id="rId4" Type="http://schemas.microsoft.com/office/2007/relationships/stylesWithEffects" Target="stylesWithEffects.xml"/><Relationship Id="rId9"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7DF5-9020-4610-BAEF-54BD9B60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dcterms:created xsi:type="dcterms:W3CDTF">2020-04-22T06:48:00Z</dcterms:created>
  <dcterms:modified xsi:type="dcterms:W3CDTF">2020-08-03T09:27:00Z</dcterms:modified>
</cp:coreProperties>
</file>