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Pr="004B452F" w:rsidRDefault="00D436D5" w:rsidP="00D531B0">
      <w:pPr>
        <w:pStyle w:val="Titolo1"/>
        <w:spacing w:line="240" w:lineRule="auto"/>
        <w:ind w:left="0" w:firstLine="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Antropologia filosofica</w:t>
      </w:r>
    </w:p>
    <w:p w:rsidR="00EF1487" w:rsidRPr="004B452F" w:rsidRDefault="00923072" w:rsidP="00D531B0">
      <w:pPr>
        <w:pStyle w:val="Titolo2"/>
        <w:spacing w:line="240" w:lineRule="auto"/>
        <w:contextualSpacing/>
        <w:rPr>
          <w:rFonts w:ascii="Times New Roman" w:hAnsi="Times New Roman"/>
          <w:color w:val="000000" w:themeColor="text1"/>
        </w:rPr>
      </w:pPr>
      <w:r w:rsidRPr="004B452F">
        <w:rPr>
          <w:rFonts w:ascii="Times New Roman" w:hAnsi="Times New Roman"/>
          <w:color w:val="000000" w:themeColor="text1"/>
        </w:rPr>
        <w:t xml:space="preserve">Prof. </w:t>
      </w:r>
      <w:r w:rsidR="00A875B3" w:rsidRPr="004B452F">
        <w:rPr>
          <w:rFonts w:ascii="Times New Roman" w:hAnsi="Times New Roman"/>
          <w:color w:val="000000" w:themeColor="text1"/>
        </w:rPr>
        <w:t xml:space="preserve"> </w:t>
      </w:r>
      <w:r w:rsidR="00613344" w:rsidRPr="004B452F">
        <w:rPr>
          <w:rFonts w:ascii="Times New Roman" w:hAnsi="Times New Roman"/>
          <w:color w:val="000000" w:themeColor="text1"/>
        </w:rPr>
        <w:t>Alessandra Papa</w:t>
      </w:r>
    </w:p>
    <w:p w:rsidR="0077573D" w:rsidRPr="004B452F" w:rsidRDefault="0077573D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OBIETTIVO DEL CORSO E RISULTATI DI APPRENDIMENTO ATTESI</w:t>
      </w:r>
    </w:p>
    <w:p w:rsidR="00357E6C" w:rsidRPr="001221E0" w:rsidRDefault="00357E6C" w:rsidP="00357E6C">
      <w:pPr>
        <w:pStyle w:val="NormaleWeb"/>
        <w:spacing w:before="0" w:beforeAutospacing="0" w:after="36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L’insegnamento si propone di fornire agli Studenti le nozioni di base di Antropologia filosofica e, al contempo, di fornire degli strumenti di riflessione critica sull’uomo e sulla costruzione della sua identità attraverso le relazioni e il dialogo. Per la sua peculiarità il corso si prefigge</w:t>
      </w:r>
      <w:r>
        <w:rPr>
          <w:rFonts w:ascii="Times" w:hAnsi="Times"/>
          <w:color w:val="000000" w:themeColor="text1"/>
          <w:sz w:val="20"/>
          <w:szCs w:val="20"/>
        </w:rPr>
        <w:t>, inoltre,</w:t>
      </w:r>
      <w:r w:rsidRPr="001221E0">
        <w:rPr>
          <w:rFonts w:ascii="Times" w:hAnsi="Times"/>
          <w:color w:val="000000" w:themeColor="text1"/>
          <w:sz w:val="20"/>
          <w:szCs w:val="20"/>
        </w:rPr>
        <w:t xml:space="preserve"> di sollecitare la riflessione morale per confrontarsi razionalmente con posizioni differenti.</w:t>
      </w:r>
    </w:p>
    <w:p w:rsidR="00357E6C" w:rsidRPr="001221E0" w:rsidRDefault="00357E6C" w:rsidP="00357E6C">
      <w:pPr>
        <w:pStyle w:val="NormaleWeb"/>
        <w:spacing w:before="0" w:beforeAutospacing="0" w:after="12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Al termine del corso – rispetto alle aspettative generali di apprendimento – ci si attende che lo Studente sia in grado di:</w:t>
      </w:r>
    </w:p>
    <w:p w:rsidR="00357E6C" w:rsidRPr="001221E0" w:rsidRDefault="00357E6C" w:rsidP="00357E6C">
      <w:pPr>
        <w:pStyle w:val="Paragrafoelenco"/>
        <w:widowControl w:val="0"/>
        <w:numPr>
          <w:ilvl w:val="0"/>
          <w:numId w:val="14"/>
        </w:numPr>
        <w:tabs>
          <w:tab w:val="clear" w:pos="284"/>
          <w:tab w:val="left" w:pos="259"/>
        </w:tabs>
        <w:spacing w:line="240" w:lineRule="exact"/>
        <w:ind w:left="714" w:right="28" w:hanging="357"/>
        <w:rPr>
          <w:rFonts w:ascii="Times" w:eastAsia="Arial" w:hAnsi="Times" w:cs="Arial"/>
          <w:color w:val="000000" w:themeColor="text1"/>
          <w:szCs w:val="20"/>
        </w:rPr>
      </w:pPr>
      <w:r w:rsidRPr="001221E0">
        <w:rPr>
          <w:rFonts w:ascii="Times" w:hAnsi="Times"/>
          <w:color w:val="000000" w:themeColor="text1"/>
          <w:szCs w:val="20"/>
        </w:rPr>
        <w:t>Conoscere gli elementi fondamentali dell’Antropologia filosofica.</w:t>
      </w:r>
    </w:p>
    <w:p w:rsidR="00357E6C" w:rsidRPr="001221E0" w:rsidRDefault="00357E6C" w:rsidP="00357E6C">
      <w:pPr>
        <w:pStyle w:val="Paragrafoelenco"/>
        <w:widowControl w:val="0"/>
        <w:numPr>
          <w:ilvl w:val="0"/>
          <w:numId w:val="14"/>
        </w:numPr>
        <w:tabs>
          <w:tab w:val="clear" w:pos="284"/>
          <w:tab w:val="left" w:pos="259"/>
        </w:tabs>
        <w:spacing w:before="38" w:line="240" w:lineRule="exact"/>
        <w:ind w:left="714" w:right="27" w:hanging="357"/>
        <w:rPr>
          <w:rFonts w:ascii="Times" w:eastAsia="Arial" w:hAnsi="Times" w:cs="Arial"/>
          <w:color w:val="000000" w:themeColor="text1"/>
          <w:szCs w:val="20"/>
        </w:rPr>
      </w:pPr>
      <w:r w:rsidRPr="001221E0">
        <w:rPr>
          <w:rFonts w:ascii="Times" w:hAnsi="Times"/>
          <w:color w:val="000000" w:themeColor="text1"/>
          <w:szCs w:val="20"/>
        </w:rPr>
        <w:t xml:space="preserve">Comprendere, in modo critico, le </w:t>
      </w:r>
      <w:proofErr w:type="gramStart"/>
      <w:r w:rsidRPr="001221E0">
        <w:rPr>
          <w:rFonts w:ascii="Times" w:hAnsi="Times"/>
          <w:color w:val="000000" w:themeColor="text1"/>
          <w:szCs w:val="20"/>
        </w:rPr>
        <w:t>tematiche  antropologiche</w:t>
      </w:r>
      <w:proofErr w:type="gramEnd"/>
      <w:r w:rsidRPr="001221E0">
        <w:rPr>
          <w:rFonts w:ascii="Times" w:hAnsi="Times"/>
          <w:color w:val="000000" w:themeColor="text1"/>
          <w:szCs w:val="20"/>
        </w:rPr>
        <w:t xml:space="preserve"> e i principali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paradigmi,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in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ordine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al rapporto</w:t>
      </w:r>
      <w:r w:rsidRPr="001221E0">
        <w:rPr>
          <w:rFonts w:ascii="Times" w:hAnsi="Times"/>
          <w:color w:val="000000" w:themeColor="text1"/>
          <w:spacing w:val="-6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tra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visione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dell'uomo,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agire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morale,</w:t>
      </w:r>
      <w:r w:rsidRPr="001221E0">
        <w:rPr>
          <w:rFonts w:ascii="Times" w:hAnsi="Times"/>
          <w:color w:val="000000" w:themeColor="text1"/>
          <w:spacing w:val="-6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forme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della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cultura.</w:t>
      </w:r>
    </w:p>
    <w:p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Comprendere e padroneggiare il lessico base della riflessione etico/morale su temi quali dignità e diritti della persona umana, diversità delle culture.</w:t>
      </w:r>
    </w:p>
    <w:p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Prendere posizione in modo lucido e argomentato su questioni di ordine morale che coinvolgono i temi trattati nel corso, applicando conoscenze e giudizi.</w:t>
      </w:r>
    </w:p>
    <w:p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Conversare e dibattere sulle tematiche etiche e antropologiche affrontate a lezione facendo esplicito riferimento al vocabolario e alle strategie argomentative della tradizione filosofica.</w:t>
      </w:r>
    </w:p>
    <w:p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 xml:space="preserve">Leggere e comprendere testi filosofici complessi dedicati alla riflessione antropologica. </w:t>
      </w:r>
    </w:p>
    <w:p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Sviluppare quelle capacità di apprendimento che consentano di poter proseguire il percorso di studi con un più alto grado di autonomia.</w:t>
      </w:r>
    </w:p>
    <w:p w:rsidR="00EF1487" w:rsidRPr="004B452F" w:rsidRDefault="00EF1487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PROGRAMMA DEL CORSO</w:t>
      </w:r>
    </w:p>
    <w:p w:rsidR="00357E6C" w:rsidRPr="001221E0" w:rsidRDefault="00357E6C" w:rsidP="00357E6C">
      <w:pPr>
        <w:spacing w:line="240" w:lineRule="exact"/>
        <w:contextualSpacing/>
        <w:rPr>
          <w:rFonts w:ascii="Times" w:hAnsi="Times"/>
          <w:color w:val="000000" w:themeColor="text1"/>
          <w:szCs w:val="20"/>
        </w:rPr>
      </w:pPr>
      <w:r w:rsidRPr="001221E0">
        <w:rPr>
          <w:rFonts w:ascii="Times" w:hAnsi="Times"/>
          <w:color w:val="000000" w:themeColor="text1"/>
          <w:szCs w:val="20"/>
        </w:rPr>
        <w:t xml:space="preserve">Il corso, suddiviso in due moduli, si articola lungo due direttrici. La prima ha lo scopo di delineare alcune tematiche classiche di storia dell’antropologia così da cogliere come la domanda </w:t>
      </w:r>
      <w:r w:rsidRPr="001221E0">
        <w:rPr>
          <w:rFonts w:ascii="Times" w:hAnsi="Times"/>
          <w:i/>
          <w:color w:val="000000" w:themeColor="text1"/>
          <w:szCs w:val="20"/>
        </w:rPr>
        <w:t>Che cos’è l’uomo?</w:t>
      </w:r>
      <w:r w:rsidRPr="001221E0">
        <w:rPr>
          <w:rFonts w:ascii="Times" w:hAnsi="Times"/>
          <w:color w:val="000000" w:themeColor="text1"/>
          <w:szCs w:val="20"/>
        </w:rPr>
        <w:t xml:space="preserve"> sia costitutiva di ogni processo formativo ed educativo. La seconda –</w:t>
      </w:r>
      <w:r>
        <w:rPr>
          <w:rFonts w:ascii="Times" w:hAnsi="Times"/>
          <w:color w:val="000000" w:themeColor="text1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 xml:space="preserve">utilizzando anche </w:t>
      </w:r>
      <w:r w:rsidRPr="001221E0">
        <w:rPr>
          <w:rFonts w:ascii="Times" w:hAnsi="Times"/>
          <w:i/>
          <w:color w:val="000000" w:themeColor="text1"/>
          <w:szCs w:val="20"/>
        </w:rPr>
        <w:t>plot</w:t>
      </w:r>
      <w:r w:rsidRPr="001221E0">
        <w:rPr>
          <w:rFonts w:ascii="Times" w:hAnsi="Times"/>
          <w:color w:val="000000" w:themeColor="text1"/>
          <w:szCs w:val="20"/>
        </w:rPr>
        <w:t xml:space="preserve"> della tragedia greca – pone un tema spesso sottovalutato come questione antropologica in sé: quello del conflitto e dell’inimicizia come luoghi pratico-teorici in cui si fa esperienza etica della relazione e dell’incontro con chi è </w:t>
      </w:r>
      <w:r w:rsidRPr="001221E0">
        <w:rPr>
          <w:rFonts w:ascii="Times" w:hAnsi="Times"/>
          <w:i/>
          <w:color w:val="000000" w:themeColor="text1"/>
          <w:szCs w:val="20"/>
        </w:rPr>
        <w:t xml:space="preserve">diverso </w:t>
      </w:r>
      <w:r w:rsidRPr="001221E0">
        <w:rPr>
          <w:rFonts w:ascii="Times" w:hAnsi="Times"/>
          <w:color w:val="000000" w:themeColor="text1"/>
          <w:szCs w:val="20"/>
        </w:rPr>
        <w:t>da noi. L’intento è quello di riflettere sul rischio di costruire, a tutti i costi, un nemico allo scopo di salvaguardare un’identità personale che è, però, incapace di autentico riconoscimento etico. Fare i conti con le forme dell’inimicizia permette, dunque, di mettere in luce le dimensioni della responsabilità come sia custodia dell’altro, ma anche come capacità di rispondere di ciò che si è fatto all’altro. Dall’</w:t>
      </w:r>
      <w:r w:rsidRPr="001221E0">
        <w:rPr>
          <w:rFonts w:ascii="Times" w:hAnsi="Times"/>
          <w:i/>
          <w:color w:val="000000" w:themeColor="text1"/>
          <w:szCs w:val="20"/>
        </w:rPr>
        <w:t>Antigone</w:t>
      </w:r>
      <w:r w:rsidRPr="001221E0">
        <w:rPr>
          <w:rFonts w:ascii="Times" w:hAnsi="Times"/>
          <w:color w:val="000000" w:themeColor="text1"/>
          <w:szCs w:val="20"/>
        </w:rPr>
        <w:t xml:space="preserve"> di Sofocle - colei che è “</w:t>
      </w:r>
      <w:r w:rsidRPr="001221E0">
        <w:rPr>
          <w:rFonts w:ascii="Times" w:hAnsi="Times"/>
          <w:i/>
          <w:color w:val="000000" w:themeColor="text1"/>
          <w:szCs w:val="20"/>
        </w:rPr>
        <w:t>nata contro</w:t>
      </w:r>
      <w:r w:rsidRPr="001221E0">
        <w:rPr>
          <w:rFonts w:ascii="Times" w:hAnsi="Times"/>
          <w:color w:val="000000" w:themeColor="text1"/>
          <w:szCs w:val="20"/>
        </w:rPr>
        <w:t>” e che difende le leggi del cuore - fino alle forme più o meno sottili di violenza totalitaria, il male dell’inimicizia emerge in molti modi diversi, anzitutto nell’ingiustizia e nell’indifferenza che impedisce di cogliere la persona umana come valore e cifra etica, quando è invece proprio colui che ci è di fronte che, nella sua diversità, ci impone un preciso comandamento morale: quello di ‘restare umani’.</w:t>
      </w:r>
    </w:p>
    <w:p w:rsidR="00EF1487" w:rsidRPr="004B452F" w:rsidRDefault="00EF1487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BIBLIOGRAFIA</w:t>
      </w:r>
      <w:r w:rsidR="000274BA">
        <w:rPr>
          <w:rStyle w:val="Rimandonotaapidipagina"/>
          <w:b/>
          <w:i/>
          <w:color w:val="000000" w:themeColor="text1"/>
          <w:szCs w:val="20"/>
        </w:rPr>
        <w:footnoteReference w:id="1"/>
      </w:r>
    </w:p>
    <w:p w:rsidR="000C09FE" w:rsidRPr="000C09FE" w:rsidRDefault="000C09FE" w:rsidP="000C09FE">
      <w:pPr>
        <w:pStyle w:val="Testo1"/>
        <w:spacing w:before="0" w:line="240" w:lineRule="auto"/>
        <w:contextualSpacing/>
        <w:rPr>
          <w:rFonts w:ascii="Times New Roman" w:hAnsi="Times New Roman"/>
          <w:smallCaps/>
          <w:color w:val="000000" w:themeColor="text1"/>
          <w:szCs w:val="18"/>
        </w:rPr>
      </w:pPr>
      <w:r w:rsidRPr="000C09FE">
        <w:rPr>
          <w:rFonts w:ascii="Times New Roman" w:hAnsi="Times New Roman"/>
          <w:smallCaps/>
          <w:color w:val="000000" w:themeColor="text1"/>
          <w:szCs w:val="18"/>
        </w:rPr>
        <w:t>E. Coreth,</w:t>
      </w:r>
      <w:r w:rsidRPr="000C09FE">
        <w:rPr>
          <w:rFonts w:ascii="Times New Roman" w:hAnsi="Times New Roman"/>
          <w:i/>
          <w:smallCaps/>
          <w:color w:val="000000" w:themeColor="text1"/>
          <w:szCs w:val="18"/>
        </w:rPr>
        <w:t xml:space="preserve"> </w:t>
      </w:r>
      <w:r w:rsidRPr="000C09FE">
        <w:rPr>
          <w:rFonts w:ascii="Times New Roman" w:hAnsi="Times New Roman"/>
          <w:i/>
          <w:color w:val="000000" w:themeColor="text1"/>
          <w:szCs w:val="18"/>
        </w:rPr>
        <w:t>Antropologia filosofica,</w:t>
      </w:r>
      <w:r w:rsidRPr="000C09FE">
        <w:rPr>
          <w:rFonts w:ascii="Times New Roman" w:hAnsi="Times New Roman"/>
          <w:color w:val="000000" w:themeColor="text1"/>
          <w:szCs w:val="18"/>
        </w:rPr>
        <w:t xml:space="preserve"> Morcelliana, Brescia, 2007 (da p. 9 a p. 43).</w:t>
      </w:r>
      <w:r w:rsidR="000274BA">
        <w:rPr>
          <w:rFonts w:ascii="Times New Roman" w:hAnsi="Times New Roman"/>
          <w:color w:val="000000" w:themeColor="text1"/>
          <w:szCs w:val="18"/>
        </w:rPr>
        <w:t xml:space="preserve"> </w:t>
      </w:r>
      <w:hyperlink r:id="rId8" w:history="1">
        <w:r w:rsidR="000274BA" w:rsidRPr="000274B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C09FE" w:rsidRPr="000C09FE" w:rsidRDefault="000C09FE" w:rsidP="000C09FE">
      <w:pPr>
        <w:pStyle w:val="Testo1"/>
        <w:spacing w:before="0" w:line="240" w:lineRule="auto"/>
        <w:contextualSpacing/>
        <w:rPr>
          <w:rFonts w:ascii="Times New Roman" w:hAnsi="Times New Roman"/>
          <w:color w:val="000000" w:themeColor="text1"/>
          <w:szCs w:val="18"/>
        </w:rPr>
      </w:pPr>
      <w:r w:rsidRPr="000C09FE">
        <w:rPr>
          <w:rFonts w:ascii="Times New Roman" w:hAnsi="Times New Roman"/>
          <w:smallCaps/>
          <w:color w:val="000000" w:themeColor="text1"/>
          <w:szCs w:val="18"/>
        </w:rPr>
        <w:t>A. Papa,</w:t>
      </w:r>
      <w:r w:rsidRPr="000C09FE">
        <w:rPr>
          <w:rFonts w:ascii="Times New Roman" w:hAnsi="Times New Roman"/>
          <w:i/>
          <w:smallCaps/>
          <w:color w:val="000000" w:themeColor="text1"/>
          <w:szCs w:val="18"/>
        </w:rPr>
        <w:t xml:space="preserve"> </w:t>
      </w:r>
      <w:r w:rsidRPr="000C09FE">
        <w:rPr>
          <w:rFonts w:ascii="Times New Roman" w:hAnsi="Times New Roman"/>
          <w:i/>
          <w:color w:val="000000" w:themeColor="text1"/>
          <w:szCs w:val="18"/>
        </w:rPr>
        <w:t xml:space="preserve"> Antigone. Il diritto di piangere. Fenomenologia del lutto femminile, </w:t>
      </w:r>
      <w:r w:rsidRPr="000C09FE">
        <w:rPr>
          <w:rFonts w:ascii="Times New Roman" w:hAnsi="Times New Roman"/>
          <w:color w:val="000000" w:themeColor="text1"/>
          <w:szCs w:val="18"/>
        </w:rPr>
        <w:t>Vita e Pensiero, Milano 2019 (da p. 83 a p. 235).</w:t>
      </w:r>
      <w:r w:rsidR="000274BA">
        <w:rPr>
          <w:rFonts w:ascii="Times New Roman" w:hAnsi="Times New Roman"/>
          <w:color w:val="000000" w:themeColor="text1"/>
          <w:szCs w:val="18"/>
        </w:rPr>
        <w:t xml:space="preserve"> </w:t>
      </w:r>
      <w:hyperlink r:id="rId9" w:history="1">
        <w:r w:rsidR="000274BA" w:rsidRPr="000274B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F1487" w:rsidRPr="004B452F" w:rsidRDefault="00EF1487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DIDATTICA DEL CORSO</w:t>
      </w:r>
    </w:p>
    <w:p w:rsidR="000C09FE" w:rsidRDefault="000C09FE" w:rsidP="00A56E83">
      <w:pPr>
        <w:spacing w:before="120" w:after="120" w:line="240" w:lineRule="auto"/>
        <w:rPr>
          <w:rFonts w:ascii="Times" w:hAnsi="Times"/>
          <w:noProof/>
          <w:sz w:val="18"/>
          <w:szCs w:val="20"/>
        </w:rPr>
      </w:pPr>
      <w:r w:rsidRPr="000C09FE">
        <w:rPr>
          <w:rFonts w:ascii="Times" w:hAnsi="Times"/>
          <w:noProof/>
          <w:sz w:val="18"/>
          <w:szCs w:val="20"/>
        </w:rPr>
        <w:t>Lezioni in aula. Didattica frontale. Tre ore settimanali.</w:t>
      </w:r>
    </w:p>
    <w:p w:rsidR="0041315F" w:rsidRPr="004B452F" w:rsidRDefault="0041315F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 xml:space="preserve">METODO </w:t>
      </w:r>
      <w:r w:rsidR="00F2250C">
        <w:rPr>
          <w:b/>
          <w:i/>
          <w:color w:val="000000" w:themeColor="text1"/>
          <w:szCs w:val="20"/>
        </w:rPr>
        <w:t xml:space="preserve">E CRITERI </w:t>
      </w:r>
      <w:r w:rsidRPr="004B452F">
        <w:rPr>
          <w:b/>
          <w:i/>
          <w:color w:val="000000" w:themeColor="text1"/>
          <w:szCs w:val="20"/>
        </w:rPr>
        <w:t>DI VALUTAZIONE</w:t>
      </w:r>
    </w:p>
    <w:p w:rsidR="00357E6C" w:rsidRPr="001221E0" w:rsidRDefault="00357E6C" w:rsidP="00357E6C">
      <w:pPr>
        <w:pStyle w:val="Testo2"/>
      </w:pPr>
      <w:r w:rsidRPr="001221E0">
        <w:t>Il corso prevede una verifica finale volta a verificare la conoscenza dei testi e temi discussi a lezione.</w:t>
      </w:r>
      <w:r>
        <w:t xml:space="preserve"> </w:t>
      </w:r>
      <w:r w:rsidRPr="001221E0">
        <w:t>Nello specifico l’esame consiste in un colloquio  durante il quale gli Studenti dovranno anzitutto dimostrare di conoscere  i concetti chiave degli autori trattati durante il corso, dando prova, però, al contempo, di sapersi orientare tra i temi e le questioni di fondo oggetto di riflessione durante le lezioni in aula.</w:t>
      </w:r>
    </w:p>
    <w:p w:rsidR="00357E6C" w:rsidRPr="001221E0" w:rsidRDefault="00357E6C" w:rsidP="00357E6C">
      <w:pPr>
        <w:pStyle w:val="Testo2"/>
        <w:rPr>
          <w:b/>
        </w:rPr>
      </w:pPr>
      <w:r w:rsidRPr="001221E0">
        <w:rPr>
          <w:b/>
        </w:rPr>
        <w:t xml:space="preserve">Il materiale didattico utilizzato a lezione - caricato su </w:t>
      </w:r>
      <w:proofErr w:type="spellStart"/>
      <w:r w:rsidRPr="001221E0">
        <w:rPr>
          <w:b/>
        </w:rPr>
        <w:t>Blackboard</w:t>
      </w:r>
      <w:proofErr w:type="spellEnd"/>
      <w:r w:rsidRPr="001221E0">
        <w:rPr>
          <w:b/>
        </w:rPr>
        <w:t xml:space="preserve"> durante lo svolgimento del corso - è parte integrante del programma d’esame.</w:t>
      </w:r>
    </w:p>
    <w:p w:rsidR="00357E6C" w:rsidRPr="00357E6C" w:rsidRDefault="00357E6C" w:rsidP="00357E6C">
      <w:pPr>
        <w:pStyle w:val="Testo2"/>
      </w:pPr>
      <w:r w:rsidRPr="00357E6C">
        <w:t>In sintesi il colloquio – da un punto di vista disciplinare - sarà teso ad accertare:</w:t>
      </w:r>
    </w:p>
    <w:p w:rsidR="00357E6C" w:rsidRPr="00357E6C" w:rsidRDefault="00357E6C" w:rsidP="00357E6C">
      <w:pPr>
        <w:pStyle w:val="Testo2"/>
      </w:pPr>
      <w:r w:rsidRPr="00357E6C">
        <w:t>–</w:t>
      </w:r>
      <w:r w:rsidRPr="00357E6C">
        <w:tab/>
        <w:t>La conoscenza sicura dei contenuti fondamentali della disciplina, appresi attraverso lo studio dei testi in bibliografia;</w:t>
      </w:r>
    </w:p>
    <w:p w:rsidR="00357E6C" w:rsidRPr="00357E6C" w:rsidRDefault="00357E6C" w:rsidP="00357E6C">
      <w:pPr>
        <w:pStyle w:val="Testo2"/>
      </w:pPr>
      <w:r w:rsidRPr="00357E6C">
        <w:t>–</w:t>
      </w:r>
      <w:r w:rsidRPr="00357E6C">
        <w:tab/>
        <w:t>La capacità di rielaborazione critica dei contenuti e di individuazione di nessi logici fra i diversi temi/problemi;</w:t>
      </w:r>
    </w:p>
    <w:p w:rsidR="00357E6C" w:rsidRPr="00357E6C" w:rsidRDefault="00357E6C" w:rsidP="00357E6C">
      <w:pPr>
        <w:pStyle w:val="Testo2"/>
      </w:pPr>
      <w:r w:rsidRPr="00357E6C">
        <w:t>Correttezza ed efficacia espositiva;</w:t>
      </w:r>
    </w:p>
    <w:p w:rsidR="00357E6C" w:rsidRPr="00357E6C" w:rsidRDefault="00357E6C" w:rsidP="00357E6C">
      <w:pPr>
        <w:pStyle w:val="Testo2"/>
      </w:pPr>
      <w:r w:rsidRPr="00357E6C">
        <w:t>Uso appropriato del lessico filosofico.</w:t>
      </w:r>
    </w:p>
    <w:p w:rsidR="00357E6C" w:rsidRPr="00357E6C" w:rsidRDefault="00357E6C" w:rsidP="00357E6C">
      <w:pPr>
        <w:pStyle w:val="Testo2"/>
      </w:pPr>
      <w:r w:rsidRPr="00357E6C">
        <w:t>Il voto finale terrà, dunque, conto della correttezza e della qualità delle risposte, nonché dell’abilità comunicativa mostrata dallo studente durante il colloquio.</w:t>
      </w:r>
    </w:p>
    <w:p w:rsidR="00357E6C" w:rsidRPr="001221E0" w:rsidRDefault="00357E6C" w:rsidP="00357E6C">
      <w:pPr>
        <w:pStyle w:val="Testo2"/>
      </w:pPr>
      <w:r w:rsidRPr="001221E0">
        <w:t>Ai fini della valutazione concorreranno, quindi, la pertinenza delle risposte, l’uso appropriato della terminologia specifica, la strutturazione argomentata e coerente del discorso, la capacità di individuare nessi concettuali e questioni aperte.</w:t>
      </w:r>
    </w:p>
    <w:p w:rsidR="00357E6C" w:rsidRDefault="00357E6C" w:rsidP="00357E6C">
      <w:pPr>
        <w:pStyle w:val="Testo2"/>
        <w:rPr>
          <w:rFonts w:cstheme="minorHAnsi"/>
        </w:rPr>
      </w:pPr>
      <w:r w:rsidRPr="006B788A">
        <w:rPr>
          <w:rFonts w:cstheme="minorHAnsi"/>
        </w:rPr>
        <w:t>La valutazione sarà espressa in trentesimi:</w:t>
      </w:r>
    </w:p>
    <w:p w:rsidR="00357E6C" w:rsidRDefault="00357E6C" w:rsidP="00357E6C">
      <w:pPr>
        <w:pStyle w:val="Testo2"/>
      </w:pPr>
      <w:r w:rsidRPr="001221E0">
        <w:t>30 e lode: eccellente, conoscenze solide, eccellenti capacità espressive, completa comprensione di concetti e argomenti.</w:t>
      </w:r>
    </w:p>
    <w:p w:rsidR="00357E6C" w:rsidRPr="00F37ABD" w:rsidRDefault="00357E6C" w:rsidP="00357E6C">
      <w:pPr>
        <w:pStyle w:val="Testo2"/>
        <w:rPr>
          <w:rFonts w:cstheme="minorHAnsi"/>
        </w:rPr>
      </w:pPr>
      <w:r w:rsidRPr="001221E0">
        <w:t>30: molto buono, conoscenze complete e adeguate, capacità di espressione corretta e bene articolata.</w:t>
      </w:r>
    </w:p>
    <w:p w:rsidR="00357E6C" w:rsidRPr="001221E0" w:rsidRDefault="00357E6C" w:rsidP="00357E6C">
      <w:pPr>
        <w:pStyle w:val="Testo2"/>
      </w:pPr>
      <w:r w:rsidRPr="001221E0">
        <w:t>27-29: buono, conoscenza soddisfacente, capacità di espressione essenzialmente corretta.</w:t>
      </w:r>
      <w:r w:rsidRPr="001221E0">
        <w:br/>
        <w:t>24-26: conoscenza abbastanza buona, ma non completa e non sempre corretta.</w:t>
      </w:r>
      <w:r w:rsidRPr="001221E0">
        <w:br/>
        <w:t>21-23: conoscenza generalmente buona ma superficiale. Espressione spesso non appropriata.</w:t>
      </w:r>
      <w:r w:rsidRPr="001221E0">
        <w:br/>
        <w:t>18-21:sufficiente.</w:t>
      </w:r>
      <w:r w:rsidRPr="001221E0">
        <w:br/>
        <w:t>Meno di 18: insufficiente.</w:t>
      </w:r>
    </w:p>
    <w:p w:rsidR="0041315F" w:rsidRPr="004B452F" w:rsidRDefault="0041315F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AVVERTENZE E PREREQUISITI</w:t>
      </w:r>
    </w:p>
    <w:p w:rsidR="00357E6C" w:rsidRPr="001221E0" w:rsidRDefault="00357E6C" w:rsidP="00357E6C">
      <w:pPr>
        <w:pStyle w:val="Testo2"/>
      </w:pPr>
      <w:r w:rsidRPr="001221E0">
        <w:rPr>
          <w:i/>
        </w:rPr>
        <w:t>Si sottolinea che l’insegnamento, avendo carattere introduttivo allo studio dell’Antropologia filosofica, non necessita di prerequisiti relativamente ai contenuti.</w:t>
      </w:r>
      <w:r w:rsidRPr="001221E0">
        <w:t xml:space="preserve"> Tuttavia si presuppone forte interesse per la riflessione filosofica e una spiccata curiosità intellettuale per il fenomeno tragico e rispetto al suo rapporto con la filosofia.</w:t>
      </w:r>
    </w:p>
    <w:p w:rsidR="00283F1B" w:rsidRPr="00357E6C" w:rsidRDefault="00283F1B" w:rsidP="00283F1B">
      <w:pPr>
        <w:ind w:firstLine="284"/>
        <w:rPr>
          <w:iCs/>
          <w:color w:val="000000"/>
          <w:sz w:val="18"/>
          <w:szCs w:val="18"/>
        </w:rPr>
      </w:pPr>
      <w:r w:rsidRPr="00357E6C">
        <w:rPr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875B3" w:rsidRPr="00357E6C" w:rsidRDefault="004B452F" w:rsidP="00357E6C">
      <w:pPr>
        <w:pStyle w:val="Testo2"/>
        <w:spacing w:before="120"/>
        <w:rPr>
          <w:i/>
        </w:rPr>
      </w:pPr>
      <w:bookmarkStart w:id="0" w:name="_GoBack"/>
      <w:r w:rsidRPr="00357E6C">
        <w:rPr>
          <w:i/>
        </w:rPr>
        <w:t>Orario e luogo di ricevimento</w:t>
      </w:r>
    </w:p>
    <w:bookmarkEnd w:id="0"/>
    <w:p w:rsidR="00A875B3" w:rsidRPr="008A1ACB" w:rsidRDefault="004B452F" w:rsidP="008A1ACB">
      <w:pPr>
        <w:pStyle w:val="Testo2"/>
      </w:pPr>
      <w:r w:rsidRPr="008A1ACB">
        <w:t>Il Prof.</w:t>
      </w:r>
      <w:r w:rsidR="00A875B3" w:rsidRPr="008A1ACB">
        <w:t xml:space="preserve"> Alessandra Papa riceve gli </w:t>
      </w:r>
      <w:r w:rsidR="00AD591E" w:rsidRPr="008A1ACB">
        <w:t>S</w:t>
      </w:r>
      <w:r w:rsidR="00A875B3" w:rsidRPr="008A1ACB">
        <w:t xml:space="preserve">tudenti tutti i lunedì dalle ore 15,00 presso il Dipartimento di Filosofia, oppure su appuntamento previo contatto e-mail: </w:t>
      </w:r>
      <w:r w:rsidR="00A875B3" w:rsidRPr="008A1ACB">
        <w:rPr>
          <w:i/>
        </w:rPr>
        <w:t>alessandra.papa@unicatt.it</w:t>
      </w:r>
      <w:r w:rsidR="00A875B3" w:rsidRPr="008A1ACB">
        <w:t xml:space="preserve">. </w:t>
      </w:r>
    </w:p>
    <w:p w:rsidR="00A875B3" w:rsidRPr="004B452F" w:rsidRDefault="00A875B3" w:rsidP="00D531B0">
      <w:pPr>
        <w:pStyle w:val="NormaleWeb"/>
        <w:contextualSpacing/>
        <w:jc w:val="both"/>
        <w:rPr>
          <w:color w:val="000000" w:themeColor="text1"/>
          <w:sz w:val="20"/>
          <w:szCs w:val="20"/>
        </w:rPr>
      </w:pPr>
    </w:p>
    <w:p w:rsidR="003B3443" w:rsidRPr="004B452F" w:rsidRDefault="003B3443" w:rsidP="00D531B0">
      <w:pPr>
        <w:pStyle w:val="Testo2"/>
        <w:spacing w:line="240" w:lineRule="auto"/>
        <w:ind w:firstLine="0"/>
        <w:contextualSpacing/>
        <w:rPr>
          <w:rFonts w:ascii="Times New Roman" w:hAnsi="Times New Roman"/>
          <w:color w:val="000000" w:themeColor="text1"/>
          <w:sz w:val="20"/>
        </w:rPr>
      </w:pPr>
    </w:p>
    <w:sectPr w:rsidR="003B3443" w:rsidRPr="004B452F" w:rsidSect="00D531B0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D5" w:rsidRDefault="00530ED5" w:rsidP="00875BBA">
      <w:pPr>
        <w:spacing w:line="240" w:lineRule="auto"/>
      </w:pPr>
      <w:r>
        <w:separator/>
      </w:r>
    </w:p>
  </w:endnote>
  <w:endnote w:type="continuationSeparator" w:id="0">
    <w:p w:rsidR="00530ED5" w:rsidRDefault="00530ED5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D5" w:rsidRDefault="00530ED5" w:rsidP="00875BBA">
      <w:pPr>
        <w:spacing w:line="240" w:lineRule="auto"/>
      </w:pPr>
      <w:r>
        <w:separator/>
      </w:r>
    </w:p>
  </w:footnote>
  <w:footnote w:type="continuationSeparator" w:id="0">
    <w:p w:rsidR="00530ED5" w:rsidRDefault="00530ED5" w:rsidP="00875BBA">
      <w:pPr>
        <w:spacing w:line="240" w:lineRule="auto"/>
      </w:pPr>
      <w:r>
        <w:continuationSeparator/>
      </w:r>
    </w:p>
  </w:footnote>
  <w:footnote w:id="1">
    <w:p w:rsidR="000274BA" w:rsidRDefault="000274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4E3"/>
    <w:multiLevelType w:val="hybridMultilevel"/>
    <w:tmpl w:val="0F4C464E"/>
    <w:lvl w:ilvl="0" w:tplc="DE1A42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793"/>
    <w:multiLevelType w:val="hybridMultilevel"/>
    <w:tmpl w:val="27F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5D"/>
    <w:multiLevelType w:val="hybridMultilevel"/>
    <w:tmpl w:val="9AB2257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7C6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9A4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A8BD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EF0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4C02E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887FA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485AA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85CAE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6324F0"/>
    <w:multiLevelType w:val="hybridMultilevel"/>
    <w:tmpl w:val="66E24D22"/>
    <w:numStyleLink w:val="Puntielenco"/>
  </w:abstractNum>
  <w:abstractNum w:abstractNumId="9" w15:restartNumberingAfterBreak="0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05BE4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4A12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2D186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EE38C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C1A84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0A3A0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ECF40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4F3DA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CB12A5A"/>
    <w:multiLevelType w:val="multilevel"/>
    <w:tmpl w:val="D79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C2307"/>
    <w:multiLevelType w:val="hybridMultilevel"/>
    <w:tmpl w:val="185AB5E8"/>
    <w:lvl w:ilvl="0" w:tplc="B09A75FE">
      <w:start w:val="8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C136189"/>
    <w:multiLevelType w:val="hybridMultilevel"/>
    <w:tmpl w:val="E5801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78B5"/>
    <w:multiLevelType w:val="hybridMultilevel"/>
    <w:tmpl w:val="9B6AC0AA"/>
    <w:numStyleLink w:val="Puntielenco1"/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7"/>
    <w:rsid w:val="000060ED"/>
    <w:rsid w:val="00010526"/>
    <w:rsid w:val="000274BA"/>
    <w:rsid w:val="0009524E"/>
    <w:rsid w:val="000C09FE"/>
    <w:rsid w:val="000D3BA9"/>
    <w:rsid w:val="000D48AC"/>
    <w:rsid w:val="000D78B2"/>
    <w:rsid w:val="000F7341"/>
    <w:rsid w:val="00105038"/>
    <w:rsid w:val="001142B7"/>
    <w:rsid w:val="00115B31"/>
    <w:rsid w:val="00134AAA"/>
    <w:rsid w:val="00150BC5"/>
    <w:rsid w:val="00187B99"/>
    <w:rsid w:val="00194BC5"/>
    <w:rsid w:val="001968B0"/>
    <w:rsid w:val="001D0C0F"/>
    <w:rsid w:val="001F0374"/>
    <w:rsid w:val="002014DD"/>
    <w:rsid w:val="002106A6"/>
    <w:rsid w:val="002239C0"/>
    <w:rsid w:val="00243EBE"/>
    <w:rsid w:val="00247C83"/>
    <w:rsid w:val="002502B7"/>
    <w:rsid w:val="002637D7"/>
    <w:rsid w:val="00283F1B"/>
    <w:rsid w:val="00290DCA"/>
    <w:rsid w:val="002920A7"/>
    <w:rsid w:val="0029783C"/>
    <w:rsid w:val="002A7B95"/>
    <w:rsid w:val="00312004"/>
    <w:rsid w:val="00314BD4"/>
    <w:rsid w:val="003305A2"/>
    <w:rsid w:val="00357E6C"/>
    <w:rsid w:val="00376C64"/>
    <w:rsid w:val="003B3386"/>
    <w:rsid w:val="003B3443"/>
    <w:rsid w:val="003B7470"/>
    <w:rsid w:val="003E6FF8"/>
    <w:rsid w:val="003F63B6"/>
    <w:rsid w:val="0041315F"/>
    <w:rsid w:val="00413DAA"/>
    <w:rsid w:val="00465E7D"/>
    <w:rsid w:val="00476773"/>
    <w:rsid w:val="00494401"/>
    <w:rsid w:val="004B2D8B"/>
    <w:rsid w:val="004B452F"/>
    <w:rsid w:val="004B6682"/>
    <w:rsid w:val="004C20A3"/>
    <w:rsid w:val="004C3F58"/>
    <w:rsid w:val="004C7037"/>
    <w:rsid w:val="004D1217"/>
    <w:rsid w:val="004D6008"/>
    <w:rsid w:val="004E4773"/>
    <w:rsid w:val="00530ED5"/>
    <w:rsid w:val="005365F9"/>
    <w:rsid w:val="00575ADA"/>
    <w:rsid w:val="00613344"/>
    <w:rsid w:val="0063168B"/>
    <w:rsid w:val="0063337D"/>
    <w:rsid w:val="00635397"/>
    <w:rsid w:val="00656F43"/>
    <w:rsid w:val="00667AE2"/>
    <w:rsid w:val="006B23A1"/>
    <w:rsid w:val="006C1D28"/>
    <w:rsid w:val="006E5972"/>
    <w:rsid w:val="006F1772"/>
    <w:rsid w:val="00736981"/>
    <w:rsid w:val="00750E41"/>
    <w:rsid w:val="0077573D"/>
    <w:rsid w:val="007761CC"/>
    <w:rsid w:val="00784D46"/>
    <w:rsid w:val="007D322E"/>
    <w:rsid w:val="007F65B5"/>
    <w:rsid w:val="0080129D"/>
    <w:rsid w:val="0081636B"/>
    <w:rsid w:val="00820095"/>
    <w:rsid w:val="00855CBE"/>
    <w:rsid w:val="00875BBA"/>
    <w:rsid w:val="008862F9"/>
    <w:rsid w:val="0089230B"/>
    <w:rsid w:val="008A1204"/>
    <w:rsid w:val="008A1ACB"/>
    <w:rsid w:val="008E127E"/>
    <w:rsid w:val="008E6DE9"/>
    <w:rsid w:val="008F612C"/>
    <w:rsid w:val="00900CCA"/>
    <w:rsid w:val="0090593B"/>
    <w:rsid w:val="00923072"/>
    <w:rsid w:val="00924B77"/>
    <w:rsid w:val="00940DA2"/>
    <w:rsid w:val="00962568"/>
    <w:rsid w:val="00972AFA"/>
    <w:rsid w:val="00977AB8"/>
    <w:rsid w:val="00985453"/>
    <w:rsid w:val="009B308E"/>
    <w:rsid w:val="009D3FBA"/>
    <w:rsid w:val="009E055C"/>
    <w:rsid w:val="00A107FB"/>
    <w:rsid w:val="00A51C95"/>
    <w:rsid w:val="00A56E83"/>
    <w:rsid w:val="00A72267"/>
    <w:rsid w:val="00A74F6F"/>
    <w:rsid w:val="00A85069"/>
    <w:rsid w:val="00A875B3"/>
    <w:rsid w:val="00AC550B"/>
    <w:rsid w:val="00AD591E"/>
    <w:rsid w:val="00AD7557"/>
    <w:rsid w:val="00B2534D"/>
    <w:rsid w:val="00B51253"/>
    <w:rsid w:val="00B525CC"/>
    <w:rsid w:val="00B57BA0"/>
    <w:rsid w:val="00BA0DC2"/>
    <w:rsid w:val="00BA79B8"/>
    <w:rsid w:val="00C03DA8"/>
    <w:rsid w:val="00C07570"/>
    <w:rsid w:val="00C10644"/>
    <w:rsid w:val="00C16532"/>
    <w:rsid w:val="00C32AF7"/>
    <w:rsid w:val="00C37A61"/>
    <w:rsid w:val="00C4748C"/>
    <w:rsid w:val="00C5552F"/>
    <w:rsid w:val="00C65997"/>
    <w:rsid w:val="00C963ED"/>
    <w:rsid w:val="00CA7C63"/>
    <w:rsid w:val="00CB0A5D"/>
    <w:rsid w:val="00CB5B8E"/>
    <w:rsid w:val="00CE44A3"/>
    <w:rsid w:val="00D404F2"/>
    <w:rsid w:val="00D436D5"/>
    <w:rsid w:val="00D52F9A"/>
    <w:rsid w:val="00D531B0"/>
    <w:rsid w:val="00E1752D"/>
    <w:rsid w:val="00E607E6"/>
    <w:rsid w:val="00EF1487"/>
    <w:rsid w:val="00F2250C"/>
    <w:rsid w:val="00F671D3"/>
    <w:rsid w:val="00FA0EAC"/>
    <w:rsid w:val="00FB7C7D"/>
    <w:rsid w:val="00FD3CF8"/>
    <w:rsid w:val="00FF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5309D"/>
  <w15:docId w15:val="{995149CD-38A0-4607-9E3E-8E9845F7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1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4E4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477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7573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74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74BA"/>
  </w:style>
  <w:style w:type="character" w:styleId="Rimandonotaapidipagina">
    <w:name w:val="footnote reference"/>
    <w:basedOn w:val="Carpredefinitoparagrafo"/>
    <w:semiHidden/>
    <w:unhideWhenUsed/>
    <w:rsid w:val="000274BA"/>
    <w:rPr>
      <w:vertAlign w:val="superscript"/>
    </w:rPr>
  </w:style>
  <w:style w:type="character" w:styleId="Collegamentoipertestuale">
    <w:name w:val="Hyperlink"/>
    <w:basedOn w:val="Carpredefinitoparagrafo"/>
    <w:unhideWhenUsed/>
    <w:rsid w:val="0002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reth-emerich/antropologia-filosofica-9788837219703-17394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a-papa/antigone-il-diritto-di-piangere-fenomenologia-del-lutto-femminile-9788834339282-6736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24BA-1C13-4BC6-93E2-150483D3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Grassi Monica Barbara</cp:lastModifiedBy>
  <cp:revision>7</cp:revision>
  <cp:lastPrinted>2018-05-09T08:50:00Z</cp:lastPrinted>
  <dcterms:created xsi:type="dcterms:W3CDTF">2020-05-06T07:25:00Z</dcterms:created>
  <dcterms:modified xsi:type="dcterms:W3CDTF">2020-07-31T07:13:00Z</dcterms:modified>
</cp:coreProperties>
</file>