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5B" w:rsidRDefault="00410A5B" w:rsidP="005C6146">
      <w:pPr>
        <w:pStyle w:val="Titolo1"/>
        <w:tabs>
          <w:tab w:val="left" w:pos="284"/>
        </w:tabs>
      </w:pPr>
      <w:r>
        <w:t>Teoria del rischio I</w:t>
      </w:r>
    </w:p>
    <w:p w:rsidR="00410A5B" w:rsidRDefault="00410A5B">
      <w:pPr>
        <w:pStyle w:val="Titolo2"/>
      </w:pPr>
      <w:r>
        <w:t>Prof. Nino Savelli</w:t>
      </w:r>
    </w:p>
    <w:p w:rsidR="00410A5B" w:rsidRDefault="00410A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C2DC8">
        <w:rPr>
          <w:b/>
          <w:i/>
          <w:sz w:val="18"/>
        </w:rPr>
        <w:t xml:space="preserve"> E RISULTATI DI APPRENDIMENTYO ATTESI</w:t>
      </w:r>
      <w:bookmarkStart w:id="0" w:name="_GoBack"/>
      <w:bookmarkEnd w:id="0"/>
    </w:p>
    <w:p w:rsidR="00410A5B" w:rsidRDefault="00410A5B">
      <w:r>
        <w:t>Il corso ha lo scopo di fornire gli strumenti metodologici nel campo dell’analisi dei fenomeni aleatori nella gestione di una compagnia assicurativa, con particolare riferimento ad una compagnia danni.</w:t>
      </w:r>
    </w:p>
    <w:p w:rsidR="00410A5B" w:rsidRDefault="00410A5B">
      <w:r>
        <w:t xml:space="preserve">Nell’ambito del corso si affrontano i seguenti argomenti: la definizione della struttura di base dell’approccio individuale e collettivo per la stima del costo dei sinistri, la valutazione delle principali grandezze che influenzano il costo aggregato dei sinistri (numero sinistri e severity), la determinazione dei momenti e dei cumulanti in un processo di Poisson composto (semplice o misturato), la determinazione della funzione di ripartizione del costo aggregato mediante differenti metodologie, la definizione e la valutazione della probabilità di rovina e del </w:t>
      </w:r>
      <w:r>
        <w:rPr>
          <w:i/>
        </w:rPr>
        <w:t>Capital-at-Risk</w:t>
      </w:r>
      <w:r>
        <w:t>, la determinazione del CaR mediante formule approssimate, l’analisi di lungo periodo della rischiosità della compagnia.</w:t>
      </w:r>
    </w:p>
    <w:p w:rsidR="00410A5B" w:rsidRDefault="00410A5B">
      <w:r>
        <w:t>Il corso prevede, accanto a lezioni teoriche, lo svolgimento di sessioni di esercitazione e la presentazione di alcuni casi pratici mediante l’utilizzo di modelli di simulazione.</w:t>
      </w:r>
    </w:p>
    <w:p w:rsidR="00410A5B" w:rsidRDefault="00410A5B">
      <w:r>
        <w:t xml:space="preserve">Al termine del corso i partecipanti sapranno analizzare le problematiche legate alla valutazione della solvibilità di una compagnia assicurativa e determinare il requisito di capitale necessario </w:t>
      </w:r>
      <w:r w:rsidR="0009174F">
        <w:t xml:space="preserve">in funzione di </w:t>
      </w:r>
      <w:r>
        <w:t>orizzonti temporali e livelli di confidenza prefissati.</w:t>
      </w:r>
    </w:p>
    <w:p w:rsidR="00410A5B" w:rsidRDefault="00410A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244BC" w:rsidRPr="00B244BC" w:rsidRDefault="00B244BC" w:rsidP="00B244BC">
      <w:pPr>
        <w:rPr>
          <w:smallCaps/>
          <w:sz w:val="18"/>
        </w:rPr>
      </w:pPr>
      <w:r w:rsidRPr="00B244BC">
        <w:rPr>
          <w:smallCaps/>
          <w:sz w:val="18"/>
        </w:rPr>
        <w:t>Programma analitico del corso con obiettvi formativi dettagliati</w:t>
      </w:r>
    </w:p>
    <w:p w:rsidR="00410A5B" w:rsidRDefault="00410A5B" w:rsidP="00B244BC">
      <w:pPr>
        <w:spacing w:before="120"/>
        <w:rPr>
          <w:i/>
          <w:iCs/>
        </w:rPr>
      </w:pPr>
      <w:r>
        <w:rPr>
          <w:i/>
          <w:iCs/>
        </w:rPr>
        <w:tab/>
        <w:t>Obiettivi formativi che lo studente dovrebbe aver raggiunto prima di accedere al corso</w:t>
      </w:r>
    </w:p>
    <w:p w:rsidR="00410A5B" w:rsidRDefault="00410A5B">
      <w:r>
        <w:t>Prima di accedere al corso lo studente dovrebbe:</w:t>
      </w:r>
    </w:p>
    <w:p w:rsidR="00410A5B" w:rsidRDefault="00410A5B">
      <w:r>
        <w:t>–</w:t>
      </w:r>
      <w:r>
        <w:tab/>
      </w:r>
      <w:r w:rsidR="006279BE">
        <w:t>c</w:t>
      </w:r>
      <w:r>
        <w:t>onoscere i concetti di variabil</w:t>
      </w:r>
      <w:r w:rsidR="00B244BC">
        <w:t>e aleatoria discreta e continua;</w:t>
      </w:r>
    </w:p>
    <w:p w:rsidR="00410A5B" w:rsidRDefault="00410A5B">
      <w:pPr>
        <w:ind w:left="284" w:hanging="284"/>
      </w:pPr>
      <w:r>
        <w:t>–</w:t>
      </w:r>
      <w:r>
        <w:tab/>
        <w:t>conoscere i concetti di funzione di probabilità, di densit</w:t>
      </w:r>
      <w:r w:rsidR="00B244BC">
        <w:t>à e le funzioni di ripartizione;</w:t>
      </w:r>
    </w:p>
    <w:p w:rsidR="00410A5B" w:rsidRDefault="00410A5B">
      <w:pPr>
        <w:ind w:left="284" w:hanging="284"/>
      </w:pPr>
      <w:r>
        <w:t>–</w:t>
      </w:r>
      <w:r>
        <w:tab/>
        <w:t>conoscere i concetti di media, varianza e asimmetria e le metodologie pe</w:t>
      </w:r>
      <w:r w:rsidR="00B244BC">
        <w:t>r la determinazione dei momenti;</w:t>
      </w:r>
    </w:p>
    <w:p w:rsidR="00410A5B" w:rsidRDefault="00410A5B">
      <w:pPr>
        <w:rPr>
          <w:i/>
          <w:iCs/>
        </w:rPr>
      </w:pPr>
      <w:r>
        <w:t>–</w:t>
      </w:r>
      <w:r>
        <w:tab/>
        <w:t>conoscere le principali distribuzioni di probabilità discrete e continue.</w:t>
      </w:r>
    </w:p>
    <w:p w:rsidR="00410A5B" w:rsidRPr="00B244BC" w:rsidRDefault="00410A5B" w:rsidP="00B244BC">
      <w:pPr>
        <w:spacing w:before="120"/>
        <w:rPr>
          <w:i/>
        </w:rPr>
      </w:pPr>
      <w:r w:rsidRPr="00B244BC">
        <w:rPr>
          <w:i/>
        </w:rPr>
        <w:tab/>
        <w:t>Obiettivi formativi che lo studente dovrebbe acquisire nel corso</w:t>
      </w:r>
    </w:p>
    <w:p w:rsidR="00410A5B" w:rsidRPr="00B244BC" w:rsidRDefault="00410A5B" w:rsidP="00B244BC">
      <w:pPr>
        <w:spacing w:before="120"/>
        <w:rPr>
          <w:i/>
        </w:rPr>
      </w:pPr>
      <w:r w:rsidRPr="00B244BC">
        <w:rPr>
          <w:i/>
        </w:rPr>
        <w:lastRenderedPageBreak/>
        <w:t>Momenti, funzioni generatrici e distribuzioni di probabilità</w:t>
      </w:r>
    </w:p>
    <w:p w:rsidR="00410A5B" w:rsidRDefault="00410A5B">
      <w:r>
        <w:t>Dopo il completamento della trattazione dell’argomento il candidato sarà in grado di:</w:t>
      </w:r>
    </w:p>
    <w:p w:rsidR="00410A5B" w:rsidRDefault="00B244BC">
      <w:r>
        <w:t>–</w:t>
      </w:r>
      <w:r>
        <w:tab/>
        <w:t>s</w:t>
      </w:r>
      <w:r w:rsidR="00410A5B">
        <w:t>fruttare</w:t>
      </w:r>
      <w:r>
        <w:t xml:space="preserve"> le nozioni base di probabilità;</w:t>
      </w:r>
    </w:p>
    <w:p w:rsidR="00410A5B" w:rsidRDefault="00410A5B">
      <w:pPr>
        <w:ind w:left="284" w:hanging="284"/>
      </w:pPr>
      <w:r>
        <w:t>–</w:t>
      </w:r>
      <w:r>
        <w:tab/>
        <w:t>conoscere le principali distribuzioni di probabilità utilizzabili nell’</w:t>
      </w:r>
      <w:r w:rsidR="00B244BC">
        <w:t>ambito della Teoria del rischio;</w:t>
      </w:r>
    </w:p>
    <w:p w:rsidR="00410A5B" w:rsidRDefault="00410A5B">
      <w:pPr>
        <w:ind w:left="284" w:hanging="284"/>
      </w:pPr>
      <w:r>
        <w:t>–</w:t>
      </w:r>
      <w:r>
        <w:tab/>
        <w:t>scegliere la corretta distribuzione di probabilità per des</w:t>
      </w:r>
      <w:r w:rsidR="00B244BC">
        <w:t>crivere una variabile aleatoria;</w:t>
      </w:r>
    </w:p>
    <w:p w:rsidR="00410A5B" w:rsidRDefault="00410A5B">
      <w:pPr>
        <w:ind w:left="284" w:hanging="284"/>
      </w:pPr>
      <w:r>
        <w:t>–</w:t>
      </w:r>
      <w:r>
        <w:tab/>
        <w:t>utilizzare le funzioni generatrici per l’aggregazione di variabili aleatorie e per la determinazione dei momenti e dei cumulati.</w:t>
      </w:r>
    </w:p>
    <w:p w:rsidR="00410A5B" w:rsidRPr="00B244BC" w:rsidRDefault="00410A5B" w:rsidP="00B244BC">
      <w:pPr>
        <w:spacing w:before="120"/>
        <w:rPr>
          <w:i/>
        </w:rPr>
      </w:pPr>
      <w:r w:rsidRPr="00B244BC">
        <w:rPr>
          <w:i/>
        </w:rPr>
        <w:t>L’approccio individuale e l’approccio collettivo della Teoria del Rischio</w:t>
      </w:r>
    </w:p>
    <w:p w:rsidR="00410A5B" w:rsidRDefault="00410A5B">
      <w:r>
        <w:t>Dopo il completamento della trattazione dell’argomento il candidato sarà in grado di:</w:t>
      </w:r>
    </w:p>
    <w:p w:rsidR="00410A5B" w:rsidRDefault="00B244BC">
      <w:pPr>
        <w:ind w:left="284" w:hanging="284"/>
      </w:pPr>
      <w:r>
        <w:t>–</w:t>
      </w:r>
      <w:r>
        <w:tab/>
        <w:t>c</w:t>
      </w:r>
      <w:r w:rsidR="00410A5B">
        <w:t>onoscere gli approcci utilizzabili nell’ambito dell’assicurazione vita e danni</w:t>
      </w:r>
      <w:r>
        <w:t xml:space="preserve">  per le analisi di Teoria del rischio;</w:t>
      </w:r>
    </w:p>
    <w:p w:rsidR="00410A5B" w:rsidRDefault="00410A5B">
      <w:pPr>
        <w:ind w:left="284" w:hanging="284"/>
      </w:pPr>
      <w:r>
        <w:t>–</w:t>
      </w:r>
      <w:r>
        <w:tab/>
        <w:t>valutare le principali variabili aleatorie che compongono il costo aggregato dei sinistri dei rami danni sia in un approccio individuale</w:t>
      </w:r>
      <w:r w:rsidR="00B244BC">
        <w:t xml:space="preserve"> sia in un approccio collettivo;</w:t>
      </w:r>
    </w:p>
    <w:p w:rsidR="00410A5B" w:rsidRDefault="00410A5B">
      <w:r>
        <w:t>–</w:t>
      </w:r>
      <w:r>
        <w:tab/>
        <w:t xml:space="preserve">conoscere il concetto di modellistica </w:t>
      </w:r>
      <w:r w:rsidR="00D25387">
        <w:t xml:space="preserve">del tipo </w:t>
      </w:r>
      <w:r>
        <w:t>frequency-severity.</w:t>
      </w:r>
    </w:p>
    <w:p w:rsidR="00410A5B" w:rsidRPr="00B244BC" w:rsidRDefault="00410A5B" w:rsidP="00B244BC">
      <w:pPr>
        <w:spacing w:before="120"/>
        <w:rPr>
          <w:i/>
        </w:rPr>
      </w:pPr>
      <w:r w:rsidRPr="00B244BC">
        <w:rPr>
          <w:i/>
        </w:rPr>
        <w:t>I momenti del costo aggregato dei sinistri</w:t>
      </w:r>
    </w:p>
    <w:p w:rsidR="00410A5B" w:rsidRDefault="00410A5B">
      <w:r>
        <w:t>Dopo il completamento della trattazione dell’argomento il candidato sarà in grado di:</w:t>
      </w:r>
    </w:p>
    <w:p w:rsidR="00410A5B" w:rsidRDefault="00B244BC">
      <w:r>
        <w:t>–</w:t>
      </w:r>
      <w:r>
        <w:tab/>
        <w:t>m</w:t>
      </w:r>
      <w:r w:rsidR="00410A5B">
        <w:t>odellizzare il comportamento della variabile aleatoria numero dei sinistri;</w:t>
      </w:r>
    </w:p>
    <w:p w:rsidR="00410A5B" w:rsidRDefault="00410A5B">
      <w:pPr>
        <w:ind w:left="284" w:hanging="284"/>
      </w:pPr>
      <w:r>
        <w:t>–</w:t>
      </w:r>
      <w:r>
        <w:tab/>
        <w:t>conoscere le problematiche collegate all’utilizzo di una Poisson Pura o di una Poisson Misturata e all’introduzione dei fattori di disturbo;</w:t>
      </w:r>
    </w:p>
    <w:p w:rsidR="00410A5B" w:rsidRDefault="00410A5B">
      <w:pPr>
        <w:ind w:left="284" w:hanging="284"/>
      </w:pPr>
      <w:r>
        <w:t>–</w:t>
      </w:r>
      <w:r>
        <w:tab/>
        <w:t>modellizzare il comportamento della variabile aleatoria costo del singolo sinistro;</w:t>
      </w:r>
    </w:p>
    <w:p w:rsidR="00410A5B" w:rsidRDefault="00410A5B">
      <w:pPr>
        <w:ind w:left="284" w:hanging="284"/>
      </w:pPr>
      <w:r>
        <w:t>–</w:t>
      </w:r>
      <w:r>
        <w:tab/>
        <w:t>conoscere i momenti esatti (media, varianza e asimmetria) del Costo aggregato dei sinistri identificati da processi di Poisson composti (semplici o misurati);</w:t>
      </w:r>
    </w:p>
    <w:p w:rsidR="00410A5B" w:rsidRDefault="00410A5B">
      <w:r>
        <w:t>–</w:t>
      </w:r>
      <w:r>
        <w:tab/>
        <w:t>determinare la funzione di ripartizione del Costo aggregato dei sinistri;</w:t>
      </w:r>
    </w:p>
    <w:p w:rsidR="00410A5B" w:rsidRDefault="00410A5B">
      <w:pPr>
        <w:ind w:left="284" w:hanging="284"/>
      </w:pPr>
      <w:r>
        <w:t>–</w:t>
      </w:r>
      <w:r>
        <w:tab/>
        <w:t>utilizzare opportune formule di approssimazione e metodi ricorsivi per la determinazione della funzione di ripartizione del Costo aggregato dei sinistri.</w:t>
      </w:r>
    </w:p>
    <w:p w:rsidR="00410A5B" w:rsidRDefault="00410A5B">
      <w:pPr>
        <w:spacing w:before="120"/>
        <w:rPr>
          <w:i/>
          <w:iCs/>
        </w:rPr>
      </w:pPr>
      <w:r>
        <w:rPr>
          <w:i/>
          <w:iCs/>
        </w:rPr>
        <w:t>La Risk Reserve e le sue relazioni con il costo sinistri</w:t>
      </w:r>
    </w:p>
    <w:p w:rsidR="00410A5B" w:rsidRDefault="00410A5B">
      <w:r>
        <w:t>Dopo il completamento della trattazione dell’argomento il candidato sarà in grado di:</w:t>
      </w:r>
    </w:p>
    <w:p w:rsidR="00410A5B" w:rsidRDefault="00410A5B" w:rsidP="00410A5B">
      <w:pPr>
        <w:ind w:left="284" w:hanging="284"/>
      </w:pPr>
      <w:r>
        <w:t>–</w:t>
      </w:r>
      <w:r>
        <w:tab/>
        <w:t>conoscere e descrivere il comportamento della Riserva di Rischio in un orizzonte annuale;</w:t>
      </w:r>
    </w:p>
    <w:p w:rsidR="00410A5B" w:rsidRDefault="00410A5B">
      <w:r>
        <w:t>–</w:t>
      </w:r>
      <w:r>
        <w:tab/>
        <w:t xml:space="preserve">conoscere il concetto di probabilità di rovina e </w:t>
      </w:r>
      <w:r>
        <w:rPr>
          <w:i/>
        </w:rPr>
        <w:t>Capital-at-Ris</w:t>
      </w:r>
      <w:r w:rsidR="00D25387">
        <w:rPr>
          <w:i/>
        </w:rPr>
        <w:t>k</w:t>
      </w:r>
      <w:r w:rsidR="00D25387" w:rsidRPr="00D25387">
        <w:t xml:space="preserve"> (CaR);</w:t>
      </w:r>
    </w:p>
    <w:p w:rsidR="00410A5B" w:rsidRDefault="00410A5B">
      <w:r>
        <w:t>–</w:t>
      </w:r>
      <w:r>
        <w:tab/>
        <w:t>determinare la probabilità di rovina e il CaR per una compagnia assicurativa;</w:t>
      </w:r>
    </w:p>
    <w:p w:rsidR="00410A5B" w:rsidRDefault="00410A5B">
      <w:r>
        <w:t>–</w:t>
      </w:r>
      <w:r>
        <w:tab/>
        <w:t>determinare il CaR mediante formule di approssimazione</w:t>
      </w:r>
      <w:r w:rsidR="00D25387">
        <w:t xml:space="preserve">, modelli di simulazione e formula </w:t>
      </w:r>
      <w:r w:rsidR="0009174F">
        <w:t xml:space="preserve">ricorrente </w:t>
      </w:r>
      <w:r w:rsidR="00D25387">
        <w:t>di Panjer</w:t>
      </w:r>
      <w:r>
        <w:t>;</w:t>
      </w:r>
    </w:p>
    <w:p w:rsidR="00410A5B" w:rsidRDefault="00410A5B">
      <w:pPr>
        <w:ind w:left="284" w:hanging="284"/>
      </w:pPr>
      <w:r>
        <w:t>–</w:t>
      </w:r>
      <w:r>
        <w:tab/>
        <w:t xml:space="preserve">conoscere le analogie tra il concetto di CaR e il </w:t>
      </w:r>
      <w:r w:rsidR="00D25387">
        <w:t xml:space="preserve">requisito </w:t>
      </w:r>
      <w:r>
        <w:t xml:space="preserve">minimo di solvibilità richiesto alle imprese </w:t>
      </w:r>
      <w:r w:rsidR="00D25387">
        <w:t xml:space="preserve">di assicurazione </w:t>
      </w:r>
      <w:r>
        <w:t xml:space="preserve">dalla normativa </w:t>
      </w:r>
      <w:r w:rsidR="00D25387">
        <w:t xml:space="preserve">europea </w:t>
      </w:r>
      <w:r>
        <w:t>(Solvency I e Solvency II).</w:t>
      </w:r>
    </w:p>
    <w:p w:rsidR="00410A5B" w:rsidRPr="00410A5B" w:rsidRDefault="00410A5B" w:rsidP="00410A5B">
      <w:pPr>
        <w:spacing w:before="120"/>
        <w:rPr>
          <w:i/>
        </w:rPr>
      </w:pPr>
      <w:r w:rsidRPr="00410A5B">
        <w:rPr>
          <w:i/>
        </w:rPr>
        <w:t>La Risk Reserve su un orizzonte pluriennale</w:t>
      </w:r>
    </w:p>
    <w:p w:rsidR="00410A5B" w:rsidRDefault="00410A5B">
      <w:r>
        <w:t>Dopo il completamento della trattazione dell’argomento il candidato sarà in grado di:</w:t>
      </w:r>
    </w:p>
    <w:p w:rsidR="00410A5B" w:rsidRDefault="00410A5B">
      <w:pPr>
        <w:ind w:left="284" w:hanging="284"/>
      </w:pPr>
      <w:r>
        <w:t>–</w:t>
      </w:r>
      <w:r>
        <w:tab/>
        <w:t>valutare la relazione che descrive la Riserva di rischio con orizzonti pluriennali;</w:t>
      </w:r>
    </w:p>
    <w:p w:rsidR="00410A5B" w:rsidRDefault="00410A5B">
      <w:pPr>
        <w:ind w:left="284" w:hanging="284"/>
      </w:pPr>
      <w:r>
        <w:t>–</w:t>
      </w:r>
      <w:r>
        <w:tab/>
        <w:t>valutare su quali grandezze può operare un’impresa per limitare la rischiosità e il capitale a rischio;</w:t>
      </w:r>
    </w:p>
    <w:p w:rsidR="00410A5B" w:rsidRDefault="00410A5B">
      <w:r>
        <w:t>–</w:t>
      </w:r>
      <w:r>
        <w:tab/>
        <w:t>verificare l’effetto di politiche riassicurative sul capitale a rischio;</w:t>
      </w:r>
    </w:p>
    <w:p w:rsidR="00410A5B" w:rsidRDefault="00410A5B">
      <w:r>
        <w:t>–</w:t>
      </w:r>
      <w:r>
        <w:tab/>
        <w:t>conoscere i livelli asintotici e le formule per orizzonti infiniti.</w:t>
      </w:r>
    </w:p>
    <w:p w:rsidR="00410A5B" w:rsidRPr="002153EC" w:rsidRDefault="00410A5B" w:rsidP="002153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410A5B" w:rsidRPr="002066F6" w:rsidRDefault="00410A5B">
      <w:pPr>
        <w:pStyle w:val="Testo10"/>
        <w:ind w:firstLine="0"/>
      </w:pPr>
      <w:r w:rsidRPr="002066F6">
        <w:t>Test</w:t>
      </w:r>
      <w:r w:rsidR="00D25387">
        <w:t>o di r</w:t>
      </w:r>
      <w:r w:rsidRPr="002066F6">
        <w:t>i</w:t>
      </w:r>
      <w:r w:rsidR="00D25387">
        <w:t>ferimnto:</w:t>
      </w:r>
    </w:p>
    <w:p w:rsidR="002066F6" w:rsidRPr="00D25387" w:rsidRDefault="002066F6" w:rsidP="002066F6">
      <w:pPr>
        <w:pStyle w:val="Testo10"/>
        <w:spacing w:line="240" w:lineRule="atLeast"/>
        <w:rPr>
          <w:spacing w:val="-5"/>
        </w:rPr>
      </w:pPr>
      <w:r w:rsidRPr="00D25387">
        <w:rPr>
          <w:smallCaps/>
          <w:spacing w:val="-5"/>
          <w:sz w:val="16"/>
        </w:rPr>
        <w:t>N. Savelli – Clemente G.P.,</w:t>
      </w:r>
      <w:r w:rsidRPr="00D25387">
        <w:rPr>
          <w:i/>
          <w:spacing w:val="-5"/>
        </w:rPr>
        <w:t xml:space="preserve"> </w:t>
      </w:r>
      <w:r w:rsidR="00D25387" w:rsidRPr="00D25387">
        <w:rPr>
          <w:i/>
          <w:spacing w:val="-5"/>
        </w:rPr>
        <w:t xml:space="preserve">Lezioni </w:t>
      </w:r>
      <w:r w:rsidRPr="00D25387">
        <w:rPr>
          <w:i/>
          <w:spacing w:val="-5"/>
        </w:rPr>
        <w:t>di Teoria del Rischio per le Assicurazioni,</w:t>
      </w:r>
      <w:r w:rsidRPr="00D25387">
        <w:rPr>
          <w:spacing w:val="-5"/>
        </w:rPr>
        <w:t xml:space="preserve"> </w:t>
      </w:r>
      <w:r w:rsidR="00D25387" w:rsidRPr="00D25387">
        <w:rPr>
          <w:spacing w:val="-5"/>
        </w:rPr>
        <w:t xml:space="preserve">Dispense </w:t>
      </w:r>
      <w:r w:rsidRPr="00D25387">
        <w:rPr>
          <w:spacing w:val="-5"/>
        </w:rPr>
        <w:t>disponibil</w:t>
      </w:r>
      <w:r w:rsidR="00D25387" w:rsidRPr="00D25387">
        <w:rPr>
          <w:spacing w:val="-5"/>
        </w:rPr>
        <w:t xml:space="preserve">i </w:t>
      </w:r>
      <w:r w:rsidRPr="00D25387">
        <w:rPr>
          <w:spacing w:val="-5"/>
        </w:rPr>
        <w:t>on-line su piattaforma Blackboard, 201</w:t>
      </w:r>
      <w:r w:rsidR="00D25387" w:rsidRPr="00D25387">
        <w:rPr>
          <w:spacing w:val="-5"/>
        </w:rPr>
        <w:t>5 (solo cap. I-II-III-IV-V pag. 1-223)</w:t>
      </w:r>
      <w:r w:rsidRPr="00D25387">
        <w:rPr>
          <w:spacing w:val="-5"/>
        </w:rPr>
        <w:t>.</w:t>
      </w:r>
    </w:p>
    <w:p w:rsidR="00410A5B" w:rsidRPr="00D25387" w:rsidRDefault="00410A5B">
      <w:pPr>
        <w:pStyle w:val="Testo10"/>
        <w:spacing w:before="120"/>
        <w:ind w:firstLine="0"/>
      </w:pPr>
      <w:r w:rsidRPr="00D25387">
        <w:t>Testi consigliati per approfondimenti</w:t>
      </w:r>
    </w:p>
    <w:p w:rsidR="002066F6" w:rsidRPr="00D25387" w:rsidRDefault="002066F6" w:rsidP="002066F6">
      <w:pPr>
        <w:pStyle w:val="Testo10"/>
        <w:spacing w:line="240" w:lineRule="atLeast"/>
        <w:rPr>
          <w:spacing w:val="-5"/>
        </w:rPr>
      </w:pPr>
      <w:r w:rsidRPr="00D25387">
        <w:rPr>
          <w:smallCaps/>
          <w:spacing w:val="-5"/>
          <w:sz w:val="16"/>
        </w:rPr>
        <w:t>C.D. Daykin - T. Pentikainen - M. Pesonen,</w:t>
      </w:r>
      <w:r w:rsidRPr="00D25387">
        <w:rPr>
          <w:i/>
          <w:spacing w:val="-5"/>
        </w:rPr>
        <w:t xml:space="preserve"> Practical risk theory for actuaries,</w:t>
      </w:r>
      <w:r w:rsidRPr="00D25387">
        <w:rPr>
          <w:spacing w:val="-5"/>
        </w:rPr>
        <w:t xml:space="preserve"> Chapman &amp; Hall, Londra, 1994.</w:t>
      </w:r>
    </w:p>
    <w:p w:rsidR="00410A5B" w:rsidRDefault="00410A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10A5B" w:rsidRDefault="00410A5B">
      <w:pPr>
        <w:pStyle w:val="Testo2"/>
        <w:rPr>
          <w:rFonts w:cs="Times"/>
        </w:rPr>
      </w:pPr>
      <w:r>
        <w:rPr>
          <w:rFonts w:cs="Times"/>
        </w:rPr>
        <w:t>Lezioni in aula</w:t>
      </w:r>
      <w:r w:rsidR="00D25387">
        <w:rPr>
          <w:rFonts w:cs="Times"/>
        </w:rPr>
        <w:t>, o in remoto nel caso del protrarsi dell’emergenza sanitaria, mediante didattica frontale</w:t>
      </w:r>
      <w:r>
        <w:rPr>
          <w:rFonts w:cs="Times"/>
        </w:rPr>
        <w:t>. Presentazioni di alcuni casi pratici mediante modelli di simulazione.</w:t>
      </w:r>
    </w:p>
    <w:p w:rsidR="00410A5B" w:rsidRDefault="00410A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410A5B" w:rsidRDefault="00410A5B">
      <w:pPr>
        <w:pStyle w:val="Testo2"/>
        <w:rPr>
          <w:rFonts w:cs="Times"/>
        </w:rPr>
      </w:pPr>
      <w:r>
        <w:rPr>
          <w:rFonts w:cs="Times"/>
        </w:rPr>
        <w:t>Esame orale.</w:t>
      </w:r>
      <w:r w:rsidR="00D25387">
        <w:rPr>
          <w:rFonts w:cs="Times"/>
        </w:rPr>
        <w:t xml:space="preserve"> Nel periodo di emergenza sanitaria Covid-19, qualora non si possano svolgere gli esami in presenza, gli esami si terranno in due parti: la prima parte sarà svolta mediante test con risposte multiple e la seconda parte in forma orale. </w:t>
      </w:r>
    </w:p>
    <w:p w:rsidR="00410A5B" w:rsidRDefault="00410A5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410A5B" w:rsidRDefault="00410A5B">
      <w:pPr>
        <w:pStyle w:val="Testo2"/>
        <w:rPr>
          <w:rFonts w:cs="Times"/>
        </w:rPr>
      </w:pPr>
      <w:r>
        <w:rPr>
          <w:rFonts w:cs="Times"/>
        </w:rPr>
        <w:t xml:space="preserve">Si consiglia allo studente di presentarsi all’esame dopo aver </w:t>
      </w:r>
      <w:r w:rsidR="00D25387">
        <w:rPr>
          <w:rFonts w:cs="Times"/>
        </w:rPr>
        <w:t>rivisto gli aspetti fondamentali del</w:t>
      </w:r>
      <w:r>
        <w:rPr>
          <w:rFonts w:cs="Times"/>
        </w:rPr>
        <w:t>l’esame di Statistica</w:t>
      </w:r>
      <w:r w:rsidR="00D25387">
        <w:rPr>
          <w:rFonts w:cs="Times"/>
        </w:rPr>
        <w:t xml:space="preserve"> e Matematica Generale</w:t>
      </w:r>
      <w:r>
        <w:rPr>
          <w:rFonts w:cs="Times"/>
        </w:rPr>
        <w:t>.</w:t>
      </w:r>
    </w:p>
    <w:p w:rsidR="00B97AAE" w:rsidRPr="00B97AAE" w:rsidRDefault="00B97AAE">
      <w:pPr>
        <w:pStyle w:val="Testo2"/>
        <w:spacing w:before="120"/>
        <w:rPr>
          <w:rFonts w:cs="Times"/>
          <w:i/>
        </w:rPr>
      </w:pPr>
      <w:r w:rsidRPr="00B97AAE">
        <w:rPr>
          <w:rFonts w:cs="Times"/>
          <w:i/>
        </w:rPr>
        <w:t>Orario e luogo di ricevimento</w:t>
      </w:r>
    </w:p>
    <w:p w:rsidR="00410A5B" w:rsidRDefault="00410A5B" w:rsidP="00B97AAE">
      <w:pPr>
        <w:pStyle w:val="Testo2"/>
        <w:rPr>
          <w:rFonts w:cs="Times"/>
        </w:rPr>
      </w:pPr>
      <w:r>
        <w:rPr>
          <w:rFonts w:cs="Times"/>
        </w:rPr>
        <w:t xml:space="preserve">Il Prof. Nino Savelli riceve gli studenti come da avviso </w:t>
      </w:r>
      <w:r w:rsidR="00D25387">
        <w:rPr>
          <w:rFonts w:cs="Times"/>
        </w:rPr>
        <w:t>periodicamente riportato nella propria pagina web.</w:t>
      </w:r>
      <w:r>
        <w:rPr>
          <w:rFonts w:cs="Times"/>
        </w:rPr>
        <w:t xml:space="preserve"> </w:t>
      </w:r>
      <w:r w:rsidR="00D25387">
        <w:rPr>
          <w:rFonts w:cs="Times"/>
        </w:rPr>
        <w:t xml:space="preserve">Nel caso sia possibile effettuare il ricevimento studenti di persona, lo stesso si terrà </w:t>
      </w:r>
      <w:r>
        <w:rPr>
          <w:rFonts w:cs="Times"/>
        </w:rPr>
        <w:t xml:space="preserve">presso il </w:t>
      </w:r>
      <w:r w:rsidR="00D25387">
        <w:rPr>
          <w:rFonts w:cs="Times"/>
        </w:rPr>
        <w:t xml:space="preserve">proprio studio in Via Necchi n.9, II piano, </w:t>
      </w:r>
      <w:r>
        <w:rPr>
          <w:rFonts w:cs="Times"/>
        </w:rPr>
        <w:t xml:space="preserve">Dipartimento di </w:t>
      </w:r>
      <w:r w:rsidR="00D25387">
        <w:rPr>
          <w:rFonts w:cs="Times"/>
        </w:rPr>
        <w:t>Matematica per le Scienze Economiche, Finanziarie ed Attuariali</w:t>
      </w:r>
      <w:r>
        <w:rPr>
          <w:rFonts w:cs="Times"/>
        </w:rPr>
        <w:t>.</w:t>
      </w:r>
    </w:p>
    <w:sectPr w:rsidR="00410A5B">
      <w:footerReference w:type="default" r:id="rId6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24" w:rsidRDefault="00337E24" w:rsidP="0009174F">
      <w:pPr>
        <w:spacing w:line="240" w:lineRule="auto"/>
      </w:pPr>
      <w:r>
        <w:separator/>
      </w:r>
    </w:p>
  </w:endnote>
  <w:endnote w:type="continuationSeparator" w:id="0">
    <w:p w:rsidR="00337E24" w:rsidRDefault="00337E24" w:rsidP="00091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885000"/>
      <w:docPartObj>
        <w:docPartGallery w:val="Page Numbers (Bottom of Page)"/>
        <w:docPartUnique/>
      </w:docPartObj>
    </w:sdtPr>
    <w:sdtEndPr/>
    <w:sdtContent>
      <w:p w:rsidR="00E43658" w:rsidRDefault="00E436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C8">
          <w:rPr>
            <w:noProof/>
          </w:rPr>
          <w:t>1</w:t>
        </w:r>
        <w:r>
          <w:fldChar w:fldCharType="end"/>
        </w:r>
      </w:p>
    </w:sdtContent>
  </w:sdt>
  <w:p w:rsidR="00E43658" w:rsidRDefault="00E436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24" w:rsidRDefault="00337E24" w:rsidP="0009174F">
      <w:pPr>
        <w:spacing w:line="240" w:lineRule="auto"/>
      </w:pPr>
      <w:r>
        <w:separator/>
      </w:r>
    </w:p>
  </w:footnote>
  <w:footnote w:type="continuationSeparator" w:id="0">
    <w:p w:rsidR="00337E24" w:rsidRDefault="00337E24" w:rsidP="000917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BC"/>
    <w:rsid w:val="0009174F"/>
    <w:rsid w:val="001E6770"/>
    <w:rsid w:val="002066F6"/>
    <w:rsid w:val="002153EC"/>
    <w:rsid w:val="00240449"/>
    <w:rsid w:val="002C2DC8"/>
    <w:rsid w:val="00337E24"/>
    <w:rsid w:val="00410A5B"/>
    <w:rsid w:val="005A3AAD"/>
    <w:rsid w:val="005C6146"/>
    <w:rsid w:val="006279BE"/>
    <w:rsid w:val="007A124A"/>
    <w:rsid w:val="008F1A0A"/>
    <w:rsid w:val="00B244BC"/>
    <w:rsid w:val="00B97AAE"/>
    <w:rsid w:val="00D25387"/>
    <w:rsid w:val="00D36E48"/>
    <w:rsid w:val="00E43658"/>
    <w:rsid w:val="00F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26B9C"/>
  <w15:docId w15:val="{0C581DBB-8C18-4835-BE04-5AB2AAC4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120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tabs>
        <w:tab w:val="left" w:pos="284"/>
      </w:tabs>
      <w:spacing w:before="1" w:after="1" w:line="220" w:lineRule="atLeast"/>
      <w:ind w:left="284" w:right="1" w:hanging="284"/>
      <w:jc w:val="both"/>
    </w:pPr>
    <w:rPr>
      <w:rFonts w:ascii="Times" w:hAnsi="Times"/>
      <w:color w:val="000000"/>
      <w:spacing w:val="15"/>
      <w:sz w:val="18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206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66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917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9174F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0917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74F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2012-06-11T11:43:00Z</cp:lastPrinted>
  <dcterms:created xsi:type="dcterms:W3CDTF">2021-03-01T11:10:00Z</dcterms:created>
  <dcterms:modified xsi:type="dcterms:W3CDTF">2021-03-01T11:27:00Z</dcterms:modified>
</cp:coreProperties>
</file>