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B43CBE">
      <w:pPr>
        <w:pStyle w:val="Titolo1"/>
      </w:pPr>
      <w:r w:rsidRPr="00B43CBE">
        <w:t>Economia politica I</w:t>
      </w:r>
    </w:p>
    <w:p w:rsidR="00B43CBE" w:rsidRDefault="00B43CBE" w:rsidP="00B43CBE">
      <w:pPr>
        <w:pStyle w:val="Titolo2"/>
      </w:pPr>
      <w:r w:rsidRPr="00B43CBE">
        <w:t xml:space="preserve">Prof. </w:t>
      </w:r>
      <w:r w:rsidR="00C12DF9">
        <w:t>Stefano</w:t>
      </w:r>
      <w:r w:rsidRPr="00B43CBE">
        <w:t xml:space="preserve"> </w:t>
      </w:r>
      <w:r w:rsidR="00C12DF9">
        <w:t>Colombo</w:t>
      </w:r>
    </w:p>
    <w:p w:rsidR="00B43CBE" w:rsidRDefault="00B43CBE" w:rsidP="00B43CBE">
      <w:pPr>
        <w:spacing w:before="240" w:after="120" w:line="240" w:lineRule="exact"/>
        <w:rPr>
          <w:b/>
          <w:sz w:val="18"/>
        </w:rPr>
      </w:pPr>
      <w:r>
        <w:rPr>
          <w:b/>
          <w:i/>
          <w:sz w:val="18"/>
        </w:rPr>
        <w:t>OBIETTIVO DEL CORSO</w:t>
      </w:r>
      <w:r w:rsidR="00562307">
        <w:rPr>
          <w:b/>
          <w:i/>
          <w:sz w:val="18"/>
        </w:rPr>
        <w:t xml:space="preserve"> E RISULTATI DI APPRENDIMENTO ATTESI</w:t>
      </w:r>
    </w:p>
    <w:p w:rsidR="00334BC0" w:rsidRDefault="00B43CBE" w:rsidP="00735060">
      <w:r w:rsidRPr="00B43CBE">
        <w:t xml:space="preserve">Contenuto del corso sono i fondamenti della moderna teoria microeconomica. </w:t>
      </w:r>
      <w:r w:rsidR="00334BC0">
        <w:t>Al termine del corso, gli studenti apprendono:</w:t>
      </w:r>
    </w:p>
    <w:p w:rsidR="005D55A0" w:rsidRDefault="00735060" w:rsidP="00735060">
      <w:r>
        <w:t>–</w:t>
      </w:r>
      <w:r>
        <w:tab/>
      </w:r>
      <w:r w:rsidR="00334BC0">
        <w:t>i principali fondamenti della teoria del compo</w:t>
      </w:r>
      <w:r w:rsidR="005D55A0">
        <w:t xml:space="preserve">rtamento razionale dei consumatori e delle imprese; </w:t>
      </w:r>
    </w:p>
    <w:p w:rsidR="005D55A0" w:rsidRDefault="00735060" w:rsidP="00735060">
      <w:r>
        <w:t>–</w:t>
      </w:r>
      <w:r>
        <w:tab/>
      </w:r>
      <w:r w:rsidR="005D55A0">
        <w:t>le modalità di interazione tra consumatori e imprese;</w:t>
      </w:r>
    </w:p>
    <w:p w:rsidR="005D55A0" w:rsidRDefault="00735060" w:rsidP="00735060">
      <w:r>
        <w:t>–</w:t>
      </w:r>
      <w:r>
        <w:tab/>
      </w:r>
      <w:r w:rsidR="005D55A0">
        <w:t>il funzionamento di un sistema economico di mercato, di monopolio, e di oligopolio.</w:t>
      </w:r>
    </w:p>
    <w:p w:rsidR="004D5320" w:rsidRDefault="004D5320" w:rsidP="004D5320">
      <w:pPr>
        <w:spacing w:before="240" w:after="120" w:line="240" w:lineRule="exact"/>
        <w:rPr>
          <w:b/>
          <w:sz w:val="18"/>
        </w:rPr>
      </w:pPr>
      <w:r>
        <w:rPr>
          <w:b/>
          <w:i/>
          <w:sz w:val="18"/>
        </w:rPr>
        <w:t>PROGRAMMA DEL CORSO</w:t>
      </w:r>
    </w:p>
    <w:p w:rsidR="005E49CF" w:rsidRPr="00B43CBE" w:rsidRDefault="005E49CF" w:rsidP="004D5320">
      <w:pPr>
        <w:pStyle w:val="Testo1"/>
        <w:spacing w:line="240" w:lineRule="exact"/>
        <w:ind w:left="0" w:firstLine="0"/>
        <w:rPr>
          <w:smallCaps/>
        </w:rPr>
      </w:pPr>
      <w:r w:rsidRPr="00B43CBE">
        <w:rPr>
          <w:smallCaps/>
        </w:rPr>
        <w:t>Obiettivi formativi che lo studente deve aver raggiunto prima di accedere al corso</w:t>
      </w:r>
    </w:p>
    <w:p w:rsidR="005E49CF" w:rsidRPr="00B43CBE" w:rsidRDefault="005E49CF" w:rsidP="004D5320">
      <w:pPr>
        <w:pStyle w:val="Testo1"/>
        <w:spacing w:before="0" w:line="240" w:lineRule="exact"/>
        <w:ind w:left="0" w:firstLine="0"/>
        <w:rPr>
          <w:sz w:val="20"/>
        </w:rPr>
      </w:pPr>
      <w:r w:rsidRPr="00B43CBE">
        <w:rPr>
          <w:sz w:val="20"/>
        </w:rPr>
        <w:t>Tutti i contenuti del corso di Matematica generale che è propedeutico al corso di Economia Politica I.</w:t>
      </w:r>
    </w:p>
    <w:p w:rsidR="00B43CBE" w:rsidRPr="00B43CBE" w:rsidRDefault="00B43CBE" w:rsidP="004D5320">
      <w:pPr>
        <w:pStyle w:val="Testo1"/>
        <w:spacing w:line="240" w:lineRule="exact"/>
        <w:ind w:left="0" w:firstLine="0"/>
        <w:rPr>
          <w:smallCaps/>
        </w:rPr>
      </w:pPr>
      <w:r w:rsidRPr="00B43CBE">
        <w:rPr>
          <w:smallCaps/>
        </w:rPr>
        <w:t>Obiettivi formativi del corso</w:t>
      </w:r>
    </w:p>
    <w:p w:rsidR="00B43CBE" w:rsidRPr="00B43CBE" w:rsidRDefault="00B43CBE" w:rsidP="004D5320">
      <w:pPr>
        <w:pStyle w:val="Testo1"/>
        <w:tabs>
          <w:tab w:val="left" w:pos="284"/>
        </w:tabs>
        <w:spacing w:before="0" w:line="240" w:lineRule="exact"/>
        <w:ind w:left="0" w:firstLine="0"/>
        <w:rPr>
          <w:sz w:val="20"/>
        </w:rPr>
      </w:pPr>
      <w:r w:rsidRPr="00B43CBE">
        <w:rPr>
          <w:sz w:val="20"/>
        </w:rPr>
        <w:t>Il corso affronta i seguenti temi:</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Introduzione alla teoria del comportamento razionale dei soggetti economici.</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del corso lo studente sarà in grado di conoscere gli elementi della teoria della scelta razionale (in un contesto di certezza; in un contesto di incertezza; in un contesto di interazione strategica).</w:t>
      </w:r>
    </w:p>
    <w:p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La teoria del consumatore.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in che modo un consumatore alloca il proprio reddito nell’acquisto dei diversi beni e in che modo la domanda di ciascun bene si modifica al variare dei principali fattori (reddito, prezzi dei beni) che la influenzano. Lo studente sarà stato introdotto alle nozioni di elasticità della domanda, elasticità incrociata, surplus del consumatore. Inoltre sarà in grado di descrivere il comportamento razionale del consumatore che affronta un problema di scelta intertemporale.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Approfondimenti della teoria della scelta in condizioni di incertezza.</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alle nozioni di lotteria, valore atteso, utilità attesa, atteggiamento verso il rischio e conoscerà gli elementi essenziali della teoria dell’assicurazione.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dell’impresa.</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descrivere i processi di produzione nel breve e nel lungo periodo e di rappresentarli attraverso </w:t>
      </w:r>
      <w:r w:rsidRPr="00B43CBE">
        <w:rPr>
          <w:sz w:val="20"/>
        </w:rPr>
        <w:lastRenderedPageBreak/>
        <w:t>funzioni di costo. Lo studente sarà stato introdotto alle nozioni di rendimenti di scala della produzione, struttura industriale, monopolio naturale.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mercato di concorrenza perfetta.</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comportamento di un’impresa che massimizza i profitti in un mercato di concorrenza perfetta; di costruire la funzione di offerta di un’impresa nel breve e nel lungo periodo e di derivare le corrispondenti funzioni di offerta dell’industria. Sarà inoltre in grado di comprendere le proprietà di efficienza degli equilibri dei mercati perfettamente concorrenziali.</w:t>
      </w:r>
    </w:p>
    <w:p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L’equilibrio generale e l’efficienza dei mercati.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modello di equilibrio generale per un’economia di solo scambio e per un’economia di scambio e produzione. Sarà stato introdotto alla nozione di efficienza nel senso di Pareto e sarà in grado di comprendere perché l’efficienza nel senso di Pareto è soddisfatta nell’equilibrio generale di concorrenza perfetta.</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benefici dello scambio.</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alla nozione di “vantaggio comparato” e conoscerà gli elementi della teoria economica del commercio internazionale.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monopolio.</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conoscere i fattori che danno origine a una posizione di monopolio in un mercato e di descrivere il comportamento di un’impresa monopolistica. Sarà stato introdotto alle nozioni di perdita netta di efficienza causata dal monopolio, di discriminazione del prezzo e alle misure di politica economica nei casi di monopolio naturale.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della scelta razionale in contesto strategico (teoria dei giochi).</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gli elementi della teoria della scelta razionale in un contesto strategico (teoria dei giochi). Sarà stato introdotto alle nozioni di gioco in forma normale, gioco in forma estesa con informazione perfetta, equilibrio nel senso di Nash, soluzione di un gioco in forma estesa attraverso il metodo dell’induzione a ritroso. </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L’oligopolio.</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i principali modelli che descrivono l’interazione tra imprese in mercati oligopolistici (modelli di Cournot, Bertrand, Stackelberg) e di interpretarli alla luce della teoria dei giochi. Sarà in grado di comprendere i fondamenti strutturali della concorrenza perfetta. Sarà inoltre in grado di comprendere e analizzare il fenomeno della collusione tra le imprese in oligopolio. </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fallimenti del mercato: esternalità e beni pubblici e scelte collettive.</w:t>
      </w:r>
      <w:r w:rsidRPr="00B43CBE">
        <w:rPr>
          <w:sz w:val="20"/>
        </w:rPr>
        <w:t xml:space="preserve"> </w:t>
      </w:r>
    </w:p>
    <w:p w:rsidR="00B43CBE" w:rsidRDefault="00B43CBE" w:rsidP="004D5320">
      <w:pPr>
        <w:pStyle w:val="Testo1"/>
        <w:spacing w:before="0" w:line="240" w:lineRule="exact"/>
        <w:ind w:firstLine="0"/>
        <w:rPr>
          <w:sz w:val="20"/>
        </w:rPr>
      </w:pPr>
      <w:r w:rsidRPr="00B43CBE">
        <w:rPr>
          <w:sz w:val="20"/>
        </w:rPr>
        <w:lastRenderedPageBreak/>
        <w:t>A conclusione di questa parte lo studente sarà in grado di conoscere le cause di fallimento del mercato e di ricondurle a un problema di interazione strategica. Sarà in grado di conoscere le modalità con cui le società risolvono problemi di esternalità: il contratto; l’allocazione di diritti di proprietà; la tassazione. Sarà stato introdotto alla nozione di bene pubblico e alle condizioni che devono essere soddisfatte affinché l’offerta di un bene pubblico sia efficiente. Sarà stato infine introdotto agli elementi della teoria delle scelte collettive.</w:t>
      </w:r>
    </w:p>
    <w:p w:rsidR="00B43CBE" w:rsidRPr="003C0B2F" w:rsidRDefault="00B43CBE" w:rsidP="003C0B2F">
      <w:pPr>
        <w:spacing w:before="240" w:after="120" w:line="220" w:lineRule="exact"/>
        <w:rPr>
          <w:b/>
          <w:i/>
          <w:sz w:val="18"/>
        </w:rPr>
      </w:pPr>
      <w:r>
        <w:rPr>
          <w:b/>
          <w:i/>
          <w:sz w:val="18"/>
        </w:rPr>
        <w:t>BIBLIOGRAFIA</w:t>
      </w:r>
      <w:r w:rsidR="00411C17">
        <w:rPr>
          <w:rStyle w:val="Rimandonotaapidipagina"/>
          <w:b/>
          <w:i/>
          <w:sz w:val="18"/>
        </w:rPr>
        <w:footnoteReference w:id="1"/>
      </w:r>
    </w:p>
    <w:p w:rsidR="00B43CBE" w:rsidRDefault="00B43CBE" w:rsidP="0082684B">
      <w:pPr>
        <w:pStyle w:val="Testo1"/>
      </w:pPr>
      <w:r>
        <w:t>Per la preparazione dell’esame si consiglia lo studio sul testo di</w:t>
      </w:r>
    </w:p>
    <w:p w:rsidR="00B43CBE" w:rsidRPr="003A3647" w:rsidRDefault="00B43CBE" w:rsidP="0082684B">
      <w:pPr>
        <w:pStyle w:val="Testo1"/>
        <w:spacing w:before="0"/>
        <w:rPr>
          <w:spacing w:val="-5"/>
        </w:rPr>
      </w:pPr>
      <w:r w:rsidRPr="003A3647">
        <w:rPr>
          <w:smallCaps/>
          <w:spacing w:val="-5"/>
          <w:sz w:val="16"/>
        </w:rPr>
        <w:t>R.H. Frank,</w:t>
      </w:r>
      <w:r w:rsidRPr="003A3647">
        <w:rPr>
          <w:i/>
          <w:spacing w:val="-5"/>
        </w:rPr>
        <w:t xml:space="preserve"> Microeconomia,</w:t>
      </w:r>
      <w:r w:rsidRPr="003A3647">
        <w:rPr>
          <w:spacing w:val="-5"/>
        </w:rPr>
        <w:t xml:space="preserve"> McGraw-Hill Italia, 2014, 6</w:t>
      </w:r>
      <w:r w:rsidRPr="006F5E9C">
        <w:rPr>
          <w:spacing w:val="-5"/>
          <w:vertAlign w:val="superscript"/>
        </w:rPr>
        <w:t>a</w:t>
      </w:r>
      <w:r w:rsidRPr="003A3647">
        <w:rPr>
          <w:spacing w:val="-5"/>
        </w:rPr>
        <w:t xml:space="preserve"> ed. it. </w:t>
      </w:r>
      <w:r w:rsidR="006F5E9C">
        <w:rPr>
          <w:spacing w:val="-5"/>
        </w:rPr>
        <w:t>(</w:t>
      </w:r>
      <w:r w:rsidRPr="003A3647">
        <w:rPr>
          <w:spacing w:val="-5"/>
        </w:rPr>
        <w:t>capitoli 1-6; 9-13; 15-17</w:t>
      </w:r>
      <w:r w:rsidR="006F5E9C">
        <w:rPr>
          <w:spacing w:val="-5"/>
        </w:rPr>
        <w:t>)</w:t>
      </w:r>
      <w:r w:rsidRPr="003A3647">
        <w:rPr>
          <w:spacing w:val="-5"/>
        </w:rPr>
        <w:t>.</w:t>
      </w:r>
      <w:r w:rsidR="00411C17">
        <w:rPr>
          <w:spacing w:val="-5"/>
        </w:rPr>
        <w:t xml:space="preserve"> </w:t>
      </w:r>
      <w:hyperlink r:id="rId9" w:history="1">
        <w:r w:rsidR="00411C17" w:rsidRPr="00411C17">
          <w:rPr>
            <w:rStyle w:val="Collegamentoipertestuale"/>
            <w:rFonts w:ascii="Times New Roman" w:hAnsi="Times New Roman"/>
            <w:i/>
            <w:sz w:val="16"/>
            <w:szCs w:val="16"/>
          </w:rPr>
          <w:t>Acquista da VP</w:t>
        </w:r>
      </w:hyperlink>
    </w:p>
    <w:p w:rsidR="00B43CBE" w:rsidRDefault="00B43CBE" w:rsidP="0082684B">
      <w:pPr>
        <w:pStyle w:val="Testo1"/>
      </w:pPr>
      <w:r>
        <w:t>In alternativa, lo studente può consultare uno dei testi seguenti:</w:t>
      </w:r>
    </w:p>
    <w:p w:rsidR="00B43CBE" w:rsidRPr="003A3647" w:rsidRDefault="00B43CBE" w:rsidP="0082684B">
      <w:pPr>
        <w:pStyle w:val="Testo1"/>
        <w:spacing w:before="0"/>
        <w:rPr>
          <w:spacing w:val="-5"/>
        </w:rPr>
      </w:pPr>
      <w:r w:rsidRPr="003A3647">
        <w:rPr>
          <w:smallCaps/>
          <w:spacing w:val="-5"/>
          <w:sz w:val="16"/>
        </w:rPr>
        <w:t>J. Perloff,</w:t>
      </w:r>
      <w:r w:rsidRPr="003A3647">
        <w:rPr>
          <w:i/>
          <w:spacing w:val="-5"/>
        </w:rPr>
        <w:t xml:space="preserve"> Microeconomia,</w:t>
      </w:r>
      <w:r w:rsidRPr="003A3647">
        <w:rPr>
          <w:spacing w:val="-5"/>
        </w:rPr>
        <w:t xml:space="preserve"> Apogeo, 2009. </w:t>
      </w:r>
      <w:r w:rsidR="00411C17">
        <w:rPr>
          <w:spacing w:val="-5"/>
        </w:rPr>
        <w:t xml:space="preserve"> </w:t>
      </w:r>
      <w:hyperlink r:id="rId10" w:history="1">
        <w:r w:rsidR="00411C17" w:rsidRPr="00411C17">
          <w:rPr>
            <w:rStyle w:val="Collegamentoipertestuale"/>
            <w:rFonts w:ascii="Times New Roman" w:hAnsi="Times New Roman"/>
            <w:i/>
            <w:sz w:val="16"/>
            <w:szCs w:val="16"/>
          </w:rPr>
          <w:t>Acquista da VP</w:t>
        </w:r>
      </w:hyperlink>
    </w:p>
    <w:p w:rsidR="00B43CBE" w:rsidRPr="003A3647" w:rsidRDefault="00E8523A" w:rsidP="0082684B">
      <w:pPr>
        <w:pStyle w:val="Testo1"/>
        <w:spacing w:before="0"/>
        <w:rPr>
          <w:spacing w:val="-5"/>
        </w:rPr>
      </w:pPr>
      <w:r>
        <w:rPr>
          <w:smallCaps/>
          <w:spacing w:val="-5"/>
          <w:sz w:val="16"/>
        </w:rPr>
        <w:t>M.</w:t>
      </w:r>
      <w:r w:rsidR="003A3647" w:rsidRPr="003A3647">
        <w:rPr>
          <w:smallCaps/>
          <w:spacing w:val="-5"/>
          <w:sz w:val="16"/>
        </w:rPr>
        <w:t>L.</w:t>
      </w:r>
      <w:r w:rsidR="006F5E9C">
        <w:rPr>
          <w:smallCaps/>
          <w:spacing w:val="-5"/>
          <w:sz w:val="16"/>
        </w:rPr>
        <w:t xml:space="preserve"> </w:t>
      </w:r>
      <w:r w:rsidR="003A3647" w:rsidRPr="003A3647">
        <w:rPr>
          <w:smallCaps/>
          <w:spacing w:val="-5"/>
          <w:sz w:val="16"/>
        </w:rPr>
        <w:t>Katz-H.S. Rosen</w:t>
      </w:r>
      <w:r w:rsidR="00B43CBE" w:rsidRPr="003A3647">
        <w:rPr>
          <w:smallCaps/>
          <w:spacing w:val="-5"/>
          <w:sz w:val="16"/>
        </w:rPr>
        <w:t>,</w:t>
      </w:r>
      <w:r w:rsidR="00B43CBE" w:rsidRPr="003A3647">
        <w:rPr>
          <w:i/>
          <w:spacing w:val="-5"/>
        </w:rPr>
        <w:t xml:space="preserve"> Microeconomia,</w:t>
      </w:r>
      <w:r w:rsidR="003A3647">
        <w:rPr>
          <w:spacing w:val="-5"/>
        </w:rPr>
        <w:t xml:space="preserve"> McGraw-Hill Italia, 2011 (4</w:t>
      </w:r>
      <w:r w:rsidR="003A3647">
        <w:rPr>
          <w:spacing w:val="-5"/>
          <w:vertAlign w:val="superscript"/>
        </w:rPr>
        <w:t>a</w:t>
      </w:r>
      <w:r w:rsidR="00B43CBE" w:rsidRPr="003A3647">
        <w:rPr>
          <w:spacing w:val="-5"/>
        </w:rPr>
        <w:t xml:space="preserve"> ed. it.).</w:t>
      </w:r>
      <w:r w:rsidR="00411C17">
        <w:rPr>
          <w:spacing w:val="-5"/>
        </w:rPr>
        <w:t xml:space="preserve"> </w:t>
      </w:r>
      <w:hyperlink r:id="rId11" w:history="1">
        <w:r w:rsidR="00411C17" w:rsidRPr="00411C17">
          <w:rPr>
            <w:rStyle w:val="Collegamentoipertestuale"/>
            <w:rFonts w:ascii="Times New Roman" w:hAnsi="Times New Roman"/>
            <w:i/>
            <w:sz w:val="16"/>
            <w:szCs w:val="16"/>
          </w:rPr>
          <w:t>Acquista da VP</w:t>
        </w:r>
      </w:hyperlink>
      <w:bookmarkStart w:id="0" w:name="_GoBack"/>
      <w:bookmarkEnd w:id="0"/>
    </w:p>
    <w:p w:rsidR="00B43CBE" w:rsidRDefault="00B43CBE" w:rsidP="0082684B">
      <w:pPr>
        <w:pStyle w:val="Testo1"/>
      </w:pPr>
      <w:r>
        <w:t>Saranno messe a disposizione degli studenti specifiche dispense su taluni argomenti particolarmente approfonditi a lezione (la teoria della scelta razionale in contesto di certezza, in contesto di incertezza, in contesto di interazione strategica; la teoria dell’assicurazione; i “vantaggi comparati” e la teoria del commercio internazionale).</w:t>
      </w:r>
    </w:p>
    <w:p w:rsidR="003A3647" w:rsidRDefault="003A3647" w:rsidP="003A3647">
      <w:pPr>
        <w:spacing w:before="240" w:after="120" w:line="220" w:lineRule="exact"/>
        <w:rPr>
          <w:b/>
          <w:i/>
          <w:sz w:val="18"/>
        </w:rPr>
      </w:pPr>
      <w:r>
        <w:rPr>
          <w:b/>
          <w:i/>
          <w:sz w:val="18"/>
        </w:rPr>
        <w:t>DIDATTICA DEL CORSO</w:t>
      </w:r>
    </w:p>
    <w:p w:rsidR="003A3647" w:rsidRDefault="003A3647" w:rsidP="003A3647">
      <w:pPr>
        <w:pStyle w:val="Testo2"/>
      </w:pPr>
      <w:r w:rsidRPr="003A3647">
        <w:t>Il corso consiste in lezioni ed esercitazioni svolte in aula.</w:t>
      </w:r>
    </w:p>
    <w:p w:rsidR="003A3647" w:rsidRDefault="003A3647" w:rsidP="003A3647">
      <w:pPr>
        <w:spacing w:before="240" w:after="120" w:line="220" w:lineRule="exact"/>
        <w:rPr>
          <w:b/>
          <w:i/>
          <w:sz w:val="18"/>
        </w:rPr>
      </w:pPr>
      <w:r>
        <w:rPr>
          <w:b/>
          <w:i/>
          <w:sz w:val="18"/>
        </w:rPr>
        <w:t xml:space="preserve">METODO </w:t>
      </w:r>
      <w:r w:rsidR="00562307">
        <w:rPr>
          <w:b/>
          <w:i/>
          <w:sz w:val="18"/>
        </w:rPr>
        <w:t xml:space="preserve">E CRITERI </w:t>
      </w:r>
      <w:r>
        <w:rPr>
          <w:b/>
          <w:i/>
          <w:sz w:val="18"/>
        </w:rPr>
        <w:t>DI VALUTAZIONE</w:t>
      </w:r>
    </w:p>
    <w:p w:rsidR="003A3647" w:rsidRPr="006F5E9C" w:rsidRDefault="003A3647" w:rsidP="006F5E9C">
      <w:pPr>
        <w:pStyle w:val="Testo2"/>
      </w:pPr>
      <w:r w:rsidRPr="006F5E9C">
        <w:t>L’esame è svolto di norma in forma scritta. La prova consta di prassi di cinque domande: la prima mira a conoscere il grado di comprensione, da parte dello studente, di un testo che usa nozioni e argomenti elementari di microeconomia; la seconda mira ad accertare la conoscenza delle nozioni microeconomiche fondamentali; la terza mira a verificare la capacità dello studente di stabilire connessioni tra le nozioni di microeconomia apprese; la quarta mira a verificare la capacità dello studente di utilizzare il ragionamento microeconomico per affrontare un problema; la quinta mira a verificare la capacità dello studente di riconoscere se un interlocutore, nell’affrontare un determinato problema, usa in modo appropriato o improprio il ragionamento microeconomico.</w:t>
      </w:r>
    </w:p>
    <w:p w:rsidR="003A3647" w:rsidRPr="006F5E9C" w:rsidRDefault="003A3647" w:rsidP="006F5E9C">
      <w:pPr>
        <w:pStyle w:val="Testo2"/>
      </w:pPr>
      <w:r w:rsidRPr="006F5E9C">
        <w:t>Per superare l’esame lo studente deve essere in grado di rispondere con sufficienza ad almeno tre delle cinque domande.</w:t>
      </w:r>
    </w:p>
    <w:p w:rsidR="003A3647" w:rsidRDefault="003A3647" w:rsidP="003A3647">
      <w:pPr>
        <w:spacing w:before="240" w:after="120" w:line="240" w:lineRule="exact"/>
        <w:rPr>
          <w:b/>
          <w:i/>
          <w:sz w:val="18"/>
        </w:rPr>
      </w:pPr>
      <w:r>
        <w:rPr>
          <w:b/>
          <w:i/>
          <w:sz w:val="18"/>
        </w:rPr>
        <w:t>AVVERTENZE</w:t>
      </w:r>
      <w:r w:rsidR="005A72C2">
        <w:rPr>
          <w:b/>
          <w:i/>
          <w:sz w:val="18"/>
        </w:rPr>
        <w:t xml:space="preserve"> E PREREQUISITI</w:t>
      </w:r>
    </w:p>
    <w:p w:rsidR="005D55A0" w:rsidRDefault="005D55A0" w:rsidP="00283A52">
      <w:pPr>
        <w:autoSpaceDE w:val="0"/>
        <w:autoSpaceDN w:val="0"/>
        <w:adjustRightInd w:val="0"/>
        <w:ind w:firstLine="300"/>
      </w:pPr>
      <w:r w:rsidRPr="00673835">
        <w:lastRenderedPageBreak/>
        <w:t xml:space="preserve">Lo studente deve possedere </w:t>
      </w:r>
      <w:r>
        <w:t xml:space="preserve">elementari </w:t>
      </w:r>
      <w:r w:rsidRPr="00673835">
        <w:t xml:space="preserve">strumenti di analisi </w:t>
      </w:r>
      <w:r>
        <w:t>matematica. Riveste particolare importanza la conoscenza preliminare delle regole e dei principi della derivazione delle funzioni.</w:t>
      </w:r>
      <w:r w:rsidRPr="00673835">
        <w:t xml:space="preserve"> </w:t>
      </w:r>
    </w:p>
    <w:p w:rsidR="00283A52" w:rsidRPr="00283A52" w:rsidRDefault="00283A52" w:rsidP="00283A52">
      <w:pPr>
        <w:autoSpaceDE w:val="0"/>
        <w:autoSpaceDN w:val="0"/>
        <w:adjustRightInd w:val="0"/>
        <w:ind w:firstLine="300"/>
        <w:rPr>
          <w:iCs/>
          <w:sz w:val="18"/>
          <w:szCs w:val="18"/>
        </w:rPr>
      </w:pPr>
      <w:r w:rsidRPr="005D55A0">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3A3647" w:rsidRPr="003A3647" w:rsidRDefault="003A3647" w:rsidP="00735060">
      <w:pPr>
        <w:pStyle w:val="Testo2"/>
        <w:spacing w:before="120"/>
        <w:rPr>
          <w:i/>
        </w:rPr>
      </w:pPr>
      <w:r w:rsidRPr="003A3647">
        <w:rPr>
          <w:i/>
        </w:rPr>
        <w:t>Orario e luogo di ricevimento</w:t>
      </w:r>
    </w:p>
    <w:p w:rsidR="003A3647" w:rsidRPr="003A3647" w:rsidRDefault="003A3647" w:rsidP="003A3647">
      <w:pPr>
        <w:pStyle w:val="Testo2"/>
      </w:pPr>
      <w:r>
        <w:t xml:space="preserve">Il Prof. </w:t>
      </w:r>
      <w:r w:rsidR="00C12DF9">
        <w:t>Stefano</w:t>
      </w:r>
      <w:r>
        <w:t xml:space="preserve"> </w:t>
      </w:r>
      <w:r w:rsidR="00C12DF9">
        <w:t>Colombo</w:t>
      </w:r>
      <w:r>
        <w:t xml:space="preserve"> riceve gli studenti il giovedì dalle ore </w:t>
      </w:r>
      <w:r w:rsidR="00C12DF9">
        <w:t>16</w:t>
      </w:r>
      <w:r>
        <w:t>,30 alle ore 1</w:t>
      </w:r>
      <w:r w:rsidR="00C12DF9">
        <w:t>7</w:t>
      </w:r>
      <w:r>
        <w:t xml:space="preserve">,30 presso </w:t>
      </w:r>
      <w:r w:rsidR="00C12DF9">
        <w:t>il Dipartimento</w:t>
      </w:r>
      <w:r>
        <w:t xml:space="preserve"> di Economia e finanza (</w:t>
      </w:r>
      <w:r w:rsidR="00E8523A">
        <w:t xml:space="preserve">via </w:t>
      </w:r>
      <w:r>
        <w:t>Necchi 5, II piano).</w:t>
      </w:r>
    </w:p>
    <w:sectPr w:rsidR="003A3647" w:rsidRPr="003A36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B7" w:rsidRDefault="00134DB7" w:rsidP="00AE7DDF">
      <w:r>
        <w:separator/>
      </w:r>
    </w:p>
  </w:endnote>
  <w:endnote w:type="continuationSeparator" w:id="0">
    <w:p w:rsidR="00134DB7" w:rsidRDefault="00134DB7" w:rsidP="00A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B7" w:rsidRDefault="00134DB7" w:rsidP="00AE7DDF">
      <w:r>
        <w:separator/>
      </w:r>
    </w:p>
  </w:footnote>
  <w:footnote w:type="continuationSeparator" w:id="0">
    <w:p w:rsidR="00134DB7" w:rsidRDefault="00134DB7" w:rsidP="00AE7DDF">
      <w:r>
        <w:continuationSeparator/>
      </w:r>
    </w:p>
  </w:footnote>
  <w:footnote w:id="1">
    <w:p w:rsidR="00411C17" w:rsidRDefault="00411C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6779"/>
    <w:multiLevelType w:val="hybridMultilevel"/>
    <w:tmpl w:val="BC5EDC78"/>
    <w:lvl w:ilvl="0" w:tplc="EDDEDC5E">
      <w:numFmt w:val="bullet"/>
      <w:lvlText w:val="-"/>
      <w:lvlJc w:val="left"/>
      <w:pPr>
        <w:tabs>
          <w:tab w:val="num" w:pos="360"/>
        </w:tabs>
        <w:ind w:left="360" w:hanging="360"/>
      </w:pPr>
      <w:rPr>
        <w:rFonts w:ascii="Times" w:eastAsia="Times New Roman" w:hAnsi="Times" w:cs="Time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C6"/>
    <w:rsid w:val="00134DB7"/>
    <w:rsid w:val="00187B99"/>
    <w:rsid w:val="002014DD"/>
    <w:rsid w:val="00283A52"/>
    <w:rsid w:val="00295E55"/>
    <w:rsid w:val="00334BC0"/>
    <w:rsid w:val="00380BC3"/>
    <w:rsid w:val="003A3647"/>
    <w:rsid w:val="003C0B2F"/>
    <w:rsid w:val="00411C17"/>
    <w:rsid w:val="0041691D"/>
    <w:rsid w:val="004966D3"/>
    <w:rsid w:val="004D1217"/>
    <w:rsid w:val="004D5320"/>
    <w:rsid w:val="004D6008"/>
    <w:rsid w:val="00562307"/>
    <w:rsid w:val="00566F39"/>
    <w:rsid w:val="005A72C2"/>
    <w:rsid w:val="005D55A0"/>
    <w:rsid w:val="005E49CF"/>
    <w:rsid w:val="006122A3"/>
    <w:rsid w:val="006F1772"/>
    <w:rsid w:val="006F5E9C"/>
    <w:rsid w:val="00735060"/>
    <w:rsid w:val="007E55A9"/>
    <w:rsid w:val="0082684B"/>
    <w:rsid w:val="008A1204"/>
    <w:rsid w:val="00900CCA"/>
    <w:rsid w:val="00924B77"/>
    <w:rsid w:val="00940DA2"/>
    <w:rsid w:val="0099033F"/>
    <w:rsid w:val="009E055C"/>
    <w:rsid w:val="00A74F6F"/>
    <w:rsid w:val="00AD7557"/>
    <w:rsid w:val="00AE7DDF"/>
    <w:rsid w:val="00B43CBE"/>
    <w:rsid w:val="00B51253"/>
    <w:rsid w:val="00B525CC"/>
    <w:rsid w:val="00BE00A7"/>
    <w:rsid w:val="00C12DF9"/>
    <w:rsid w:val="00C5005D"/>
    <w:rsid w:val="00D03CC6"/>
    <w:rsid w:val="00D404F2"/>
    <w:rsid w:val="00DB5B53"/>
    <w:rsid w:val="00E05BDA"/>
    <w:rsid w:val="00E607E6"/>
    <w:rsid w:val="00E70E8A"/>
    <w:rsid w:val="00E85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411C17"/>
  </w:style>
  <w:style w:type="character" w:customStyle="1" w:styleId="TestonotaapidipaginaCarattere">
    <w:name w:val="Testo nota a piè di pagina Carattere"/>
    <w:basedOn w:val="Carpredefinitoparagrafo"/>
    <w:link w:val="Testonotaapidipagina"/>
    <w:semiHidden/>
    <w:rsid w:val="00411C17"/>
  </w:style>
  <w:style w:type="character" w:styleId="Rimandonotaapidipagina">
    <w:name w:val="footnote reference"/>
    <w:basedOn w:val="Carpredefinitoparagrafo"/>
    <w:semiHidden/>
    <w:unhideWhenUsed/>
    <w:rsid w:val="00411C17"/>
    <w:rPr>
      <w:vertAlign w:val="superscript"/>
    </w:rPr>
  </w:style>
  <w:style w:type="character" w:styleId="Collegamentoipertestuale">
    <w:name w:val="Hyperlink"/>
    <w:basedOn w:val="Carpredefinitoparagrafo"/>
    <w:unhideWhenUsed/>
    <w:rsid w:val="00411C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411C17"/>
  </w:style>
  <w:style w:type="character" w:customStyle="1" w:styleId="TestonotaapidipaginaCarattere">
    <w:name w:val="Testo nota a piè di pagina Carattere"/>
    <w:basedOn w:val="Carpredefinitoparagrafo"/>
    <w:link w:val="Testonotaapidipagina"/>
    <w:semiHidden/>
    <w:rsid w:val="00411C17"/>
  </w:style>
  <w:style w:type="character" w:styleId="Rimandonotaapidipagina">
    <w:name w:val="footnote reference"/>
    <w:basedOn w:val="Carpredefinitoparagrafo"/>
    <w:semiHidden/>
    <w:unhideWhenUsed/>
    <w:rsid w:val="00411C17"/>
    <w:rPr>
      <w:vertAlign w:val="superscript"/>
    </w:rPr>
  </w:style>
  <w:style w:type="character" w:styleId="Collegamentoipertestuale">
    <w:name w:val="Hyperlink"/>
    <w:basedOn w:val="Carpredefinitoparagrafo"/>
    <w:unhideWhenUsed/>
    <w:rsid w:val="00411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harvey-s-rosen-michael-l-katz-wyn-morgan/microeconomia-9788838695742-680771.html" TargetMode="External"/><Relationship Id="rId5" Type="http://schemas.openxmlformats.org/officeDocument/2006/relationships/settings" Target="settings.xml"/><Relationship Id="rId10" Type="http://schemas.openxmlformats.org/officeDocument/2006/relationships/hyperlink" Target="https://librerie.unicatt.it/scheda-libro/autori-vari/microeconomia-9788838786174-188343.html" TargetMode="External"/><Relationship Id="rId4" Type="http://schemas.microsoft.com/office/2007/relationships/stylesWithEffects" Target="stylesWithEffects.xml"/><Relationship Id="rId9" Type="http://schemas.openxmlformats.org/officeDocument/2006/relationships/hyperlink" Target="https://librerie.unicatt.it/scheda-libro/robert-h-frank-edward-cartwright/microeconomia-9788838615535-2521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325C-1DE6-4918-BB00-020A96EB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1138</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Economia politica I</vt:lpstr>
    </vt:vector>
  </TitlesOfParts>
  <Company>U.C.S.C. MILANO</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dc:title>
  <dc:subject/>
  <dc:creator>Grassi Monica Barbara</dc:creator>
  <cp:keywords/>
  <cp:lastModifiedBy>Rolli Andrea</cp:lastModifiedBy>
  <cp:revision>6</cp:revision>
  <cp:lastPrinted>2015-05-27T12:57:00Z</cp:lastPrinted>
  <dcterms:created xsi:type="dcterms:W3CDTF">2020-05-25T15:54:00Z</dcterms:created>
  <dcterms:modified xsi:type="dcterms:W3CDTF">2020-07-27T07:29:00Z</dcterms:modified>
</cp:coreProperties>
</file>