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772" w:rsidRDefault="00FB09F4">
      <w:pPr>
        <w:pStyle w:val="Titolo1"/>
      </w:pPr>
      <w:r w:rsidRPr="00FB09F4">
        <w:t xml:space="preserve">Psicologia dell’infanzia e counselling </w:t>
      </w:r>
    </w:p>
    <w:p w:rsidR="00FB09F4" w:rsidRDefault="00011A8A" w:rsidP="00FB09F4">
      <w:pPr>
        <w:pStyle w:val="Titolo2"/>
      </w:pPr>
      <w:r>
        <w:t xml:space="preserve">Prof. Chiara Ionio; Prof. </w:t>
      </w:r>
      <w:r w:rsidR="00B331A4">
        <w:t>Gaia Cucci</w:t>
      </w:r>
    </w:p>
    <w:p w:rsidR="00FB09F4" w:rsidRDefault="00FB09F4" w:rsidP="00FB09F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AA7A6D">
        <w:rPr>
          <w:b/>
          <w:i/>
          <w:sz w:val="18"/>
        </w:rPr>
        <w:t xml:space="preserve"> E RISULTATI DI APPRENDIMENTO ATTESI</w:t>
      </w:r>
    </w:p>
    <w:p w:rsid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Il corso si propone di affrontare il tema della psicologia dell’infanzia e degli interventi di counselling di tipo psicologico ed educativo.</w:t>
      </w:r>
    </w:p>
    <w:p w:rsidR="00440BD1" w:rsidRPr="004D1068" w:rsidRDefault="00440BD1" w:rsidP="00440BD1">
      <w:pPr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Conoscenza e comprensione</w:t>
      </w:r>
    </w:p>
    <w:p w:rsidR="00440BD1" w:rsidRPr="004D1068" w:rsidRDefault="00440BD1" w:rsidP="00440BD1">
      <w:pPr>
        <w:rPr>
          <w:szCs w:val="20"/>
        </w:rPr>
      </w:pPr>
      <w:r w:rsidRPr="009778A1">
        <w:rPr>
          <w:szCs w:val="20"/>
        </w:rPr>
        <w:t>Al termine</w:t>
      </w:r>
      <w:r>
        <w:rPr>
          <w:szCs w:val="20"/>
        </w:rPr>
        <w:t xml:space="preserve"> del corso</w:t>
      </w:r>
      <w:r w:rsidRPr="009778A1">
        <w:rPr>
          <w:szCs w:val="20"/>
        </w:rPr>
        <w:t>, lo studente sarà in grado di:</w:t>
      </w:r>
    </w:p>
    <w:p w:rsidR="00440BD1" w:rsidRPr="007A36C7" w:rsidRDefault="00440BD1" w:rsidP="00440BD1">
      <w:pPr>
        <w:rPr>
          <w:szCs w:val="20"/>
        </w:rPr>
      </w:pPr>
      <w:r w:rsidRPr="007A36C7">
        <w:rPr>
          <w:szCs w:val="20"/>
        </w:rPr>
        <w:t xml:space="preserve">- conoscere </w:t>
      </w:r>
      <w:r>
        <w:rPr>
          <w:szCs w:val="20"/>
        </w:rPr>
        <w:t>le teorie più recenti e condivise dalla letteratura scientifica</w:t>
      </w:r>
      <w:r w:rsidR="009C1956">
        <w:rPr>
          <w:szCs w:val="20"/>
        </w:rPr>
        <w:t xml:space="preserve"> sullo sviluppo tipico e atipico in infanzia</w:t>
      </w:r>
      <w:r w:rsidRPr="007A36C7">
        <w:rPr>
          <w:szCs w:val="20"/>
        </w:rPr>
        <w:t>;</w:t>
      </w:r>
    </w:p>
    <w:p w:rsidR="00440BD1" w:rsidRDefault="00440BD1" w:rsidP="00440BD1">
      <w:pPr>
        <w:rPr>
          <w:szCs w:val="20"/>
        </w:rPr>
      </w:pPr>
      <w:r>
        <w:rPr>
          <w:szCs w:val="20"/>
        </w:rPr>
        <w:t xml:space="preserve">- conoscere le </w:t>
      </w:r>
      <w:r w:rsidR="009C1956">
        <w:rPr>
          <w:szCs w:val="20"/>
        </w:rPr>
        <w:t xml:space="preserve">tecniche di base di un intervento di </w:t>
      </w:r>
      <w:proofErr w:type="spellStart"/>
      <w:r w:rsidR="009C1956">
        <w:rPr>
          <w:szCs w:val="20"/>
        </w:rPr>
        <w:t>counselling</w:t>
      </w:r>
      <w:proofErr w:type="spellEnd"/>
      <w:r w:rsidR="009C1956">
        <w:rPr>
          <w:szCs w:val="20"/>
        </w:rPr>
        <w:t xml:space="preserve"> rivolto ai bambini e ai loro genitori;</w:t>
      </w:r>
    </w:p>
    <w:p w:rsidR="00DA01E4" w:rsidRPr="007A36C7" w:rsidRDefault="00DA01E4" w:rsidP="00440BD1">
      <w:pPr>
        <w:rPr>
          <w:szCs w:val="20"/>
        </w:rPr>
      </w:pPr>
      <w:r>
        <w:rPr>
          <w:szCs w:val="20"/>
        </w:rPr>
        <w:t xml:space="preserve">-conoscere i diversi contesti in cui poter attivare un intervento di </w:t>
      </w:r>
      <w:proofErr w:type="spellStart"/>
      <w:r>
        <w:rPr>
          <w:szCs w:val="20"/>
        </w:rPr>
        <w:t>counselling</w:t>
      </w:r>
      <w:proofErr w:type="spellEnd"/>
      <w:r>
        <w:rPr>
          <w:szCs w:val="20"/>
        </w:rPr>
        <w:t>.</w:t>
      </w:r>
    </w:p>
    <w:p w:rsidR="00440BD1" w:rsidRPr="004D1068" w:rsidRDefault="00440BD1" w:rsidP="00440BD1">
      <w:pPr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Capacità di applicare conoscenza e comprensione</w:t>
      </w:r>
    </w:p>
    <w:p w:rsidR="00440BD1" w:rsidRPr="004D1068" w:rsidRDefault="00440BD1" w:rsidP="00440BD1">
      <w:pPr>
        <w:rPr>
          <w:szCs w:val="20"/>
        </w:rPr>
      </w:pPr>
      <w:r w:rsidRPr="004D1068">
        <w:rPr>
          <w:szCs w:val="20"/>
        </w:rPr>
        <w:t>Al termine del corso, lo studente sarà in grado di:</w:t>
      </w:r>
    </w:p>
    <w:p w:rsidR="00440BD1" w:rsidRDefault="00440BD1" w:rsidP="00440BD1">
      <w:pPr>
        <w:rPr>
          <w:szCs w:val="20"/>
        </w:rPr>
      </w:pPr>
      <w:r w:rsidRPr="007A36C7">
        <w:rPr>
          <w:szCs w:val="20"/>
        </w:rPr>
        <w:t xml:space="preserve">- </w:t>
      </w:r>
      <w:r>
        <w:rPr>
          <w:szCs w:val="20"/>
        </w:rPr>
        <w:t xml:space="preserve">riferirsi alla lettura di riferimento nella comprensione di un quadro </w:t>
      </w:r>
      <w:r w:rsidR="00DA01E4">
        <w:rPr>
          <w:szCs w:val="20"/>
        </w:rPr>
        <w:t>clinico connesso ad eventuali disturbi di insorgenza in età infantile</w:t>
      </w:r>
      <w:r>
        <w:rPr>
          <w:szCs w:val="20"/>
        </w:rPr>
        <w:t>;</w:t>
      </w:r>
    </w:p>
    <w:p w:rsidR="00DA01E4" w:rsidRPr="004D1068" w:rsidRDefault="00DA01E4" w:rsidP="00DA01E4">
      <w:pPr>
        <w:rPr>
          <w:szCs w:val="20"/>
        </w:rPr>
      </w:pPr>
      <w:r>
        <w:rPr>
          <w:szCs w:val="20"/>
        </w:rPr>
        <w:t xml:space="preserve">- orientarsi tra le tecniche di base di un intervento di </w:t>
      </w:r>
      <w:proofErr w:type="spellStart"/>
      <w:r>
        <w:rPr>
          <w:szCs w:val="20"/>
        </w:rPr>
        <w:t>counselling</w:t>
      </w:r>
      <w:proofErr w:type="spellEnd"/>
      <w:r>
        <w:rPr>
          <w:szCs w:val="20"/>
        </w:rPr>
        <w:t>;</w:t>
      </w:r>
    </w:p>
    <w:p w:rsidR="00440BD1" w:rsidRPr="007A36C7" w:rsidRDefault="00440BD1" w:rsidP="00440BD1">
      <w:pPr>
        <w:rPr>
          <w:szCs w:val="20"/>
        </w:rPr>
      </w:pPr>
      <w:r>
        <w:rPr>
          <w:szCs w:val="20"/>
        </w:rPr>
        <w:t xml:space="preserve">- </w:t>
      </w:r>
      <w:r w:rsidR="00DA01E4">
        <w:rPr>
          <w:szCs w:val="20"/>
        </w:rPr>
        <w:t xml:space="preserve">orientarsi tra i diversi contesti di attivazione di un intervento di </w:t>
      </w:r>
      <w:proofErr w:type="spellStart"/>
      <w:r w:rsidR="00DA01E4">
        <w:rPr>
          <w:szCs w:val="20"/>
        </w:rPr>
        <w:t>counselling</w:t>
      </w:r>
      <w:proofErr w:type="spellEnd"/>
      <w:r w:rsidR="00DA01E4">
        <w:rPr>
          <w:szCs w:val="20"/>
        </w:rPr>
        <w:t>.</w:t>
      </w:r>
    </w:p>
    <w:p w:rsidR="00FB09F4" w:rsidRDefault="00FB09F4" w:rsidP="00FB09F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FB09F4" w:rsidRP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Il corso si propone, in primo luogo, di evidenziare i fattori individuali, familiari, contestuali che, determinando diverse traiettorie di sviluppo, possono promuovere un adeguato sviluppo nel bambino oppure favorire difficoltà e disturbi.</w:t>
      </w:r>
    </w:p>
    <w:p w:rsidR="00FB09F4" w:rsidRPr="00FB09F4" w:rsidRDefault="00FB09F4" w:rsidP="00FB09F4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In particolare verranno considerati i fattori di rischio e di protezione nell’esercizio del ruolo genitoriale e di ruoli educativi esercitati da altri adulti di riferimento, e alcune specifiche forme di disagio che possono caratterizzare l’età prescolare e scolare. Verranno quindi tematizzate quali siano le richieste di aiuto che possono diventare occasione di counselling psicologico/educativo in età evolutiva.</w:t>
      </w:r>
    </w:p>
    <w:p w:rsidR="00003FCB" w:rsidRPr="003B68C4" w:rsidRDefault="00FB09F4" w:rsidP="00003FCB">
      <w:pPr>
        <w:pStyle w:val="Testo1"/>
        <w:ind w:left="0" w:firstLine="0"/>
        <w:rPr>
          <w:sz w:val="20"/>
        </w:rPr>
      </w:pPr>
      <w:r w:rsidRPr="00FB09F4">
        <w:rPr>
          <w:sz w:val="20"/>
        </w:rPr>
        <w:t>Verranno, successivamente, presentati: i modelli teorici; le strategie che caratterizzano gli interventi di counselling, specificatamente rivolti a fronteggiare alcune forme di disagio infantile; le tecniche maggiormente utilizzate e i diversi contesti in cui può essere esercitata l’attività di counselling di tipo psicologico ed educativo (scuola, consultorio, s</w:t>
      </w:r>
      <w:r w:rsidR="00DB5B09">
        <w:rPr>
          <w:sz w:val="20"/>
        </w:rPr>
        <w:t>ervizi per l’infanzia, ospedale</w:t>
      </w:r>
      <w:r w:rsidRPr="00FB09F4">
        <w:rPr>
          <w:sz w:val="20"/>
        </w:rPr>
        <w:t>…).</w:t>
      </w:r>
      <w:r w:rsidR="00003FCB" w:rsidRPr="00FB09F4">
        <w:rPr>
          <w:sz w:val="20"/>
        </w:rPr>
        <w:t>…).</w:t>
      </w:r>
      <w:r w:rsidR="00003FCB" w:rsidRPr="003B68C4">
        <w:rPr>
          <w:sz w:val="20"/>
        </w:rPr>
        <w:t xml:space="preserve"> I docenti si alterneranno lungo tutto lo svolgimento del corso che si articolerà nelle seguenti unità e sottounità:</w:t>
      </w:r>
    </w:p>
    <w:p w:rsidR="00757DC3" w:rsidRDefault="00757DC3" w:rsidP="00757DC3">
      <w:r>
        <w:t>Unità 1:</w:t>
      </w:r>
      <w:r>
        <w:tab/>
        <w:t xml:space="preserve">Definizione di </w:t>
      </w:r>
      <w:proofErr w:type="spellStart"/>
      <w:r>
        <w:t>counseling</w:t>
      </w:r>
      <w:proofErr w:type="spellEnd"/>
      <w:r>
        <w:t xml:space="preserve"> e campi di intervento</w:t>
      </w:r>
    </w:p>
    <w:p w:rsidR="00757DC3" w:rsidRDefault="00757DC3" w:rsidP="00757DC3">
      <w:r>
        <w:tab/>
      </w:r>
      <w:r>
        <w:tab/>
        <w:t xml:space="preserve">Aspetti deontologici del </w:t>
      </w:r>
      <w:proofErr w:type="spellStart"/>
      <w:r>
        <w:t>counseling</w:t>
      </w:r>
      <w:proofErr w:type="spellEnd"/>
    </w:p>
    <w:p w:rsidR="00757DC3" w:rsidRDefault="00757DC3" w:rsidP="00757DC3">
      <w:r>
        <w:tab/>
      </w:r>
      <w:r>
        <w:tab/>
        <w:t>Normativa di riferimento</w:t>
      </w:r>
    </w:p>
    <w:p w:rsidR="00757DC3" w:rsidRDefault="00757DC3" w:rsidP="00757DC3">
      <w:r>
        <w:lastRenderedPageBreak/>
        <w:tab/>
      </w:r>
      <w:r>
        <w:tab/>
        <w:t>Campi di intervento</w:t>
      </w:r>
    </w:p>
    <w:p w:rsidR="00757DC3" w:rsidRDefault="00757DC3" w:rsidP="00757DC3">
      <w:r>
        <w:t>Unità 2:</w:t>
      </w:r>
      <w:r>
        <w:tab/>
        <w:t xml:space="preserve">Approcci teorici al </w:t>
      </w:r>
      <w:proofErr w:type="spellStart"/>
      <w:r>
        <w:t>counseling</w:t>
      </w:r>
      <w:proofErr w:type="spellEnd"/>
    </w:p>
    <w:p w:rsidR="00757DC3" w:rsidRDefault="00757DC3" w:rsidP="00757DC3">
      <w:r>
        <w:tab/>
      </w:r>
      <w:r>
        <w:tab/>
        <w:t>Centrato sul cliente</w:t>
      </w:r>
    </w:p>
    <w:p w:rsidR="00757DC3" w:rsidRDefault="00757DC3" w:rsidP="00757DC3">
      <w:r>
        <w:tab/>
      </w:r>
      <w:r>
        <w:tab/>
        <w:t>Psicodinamico</w:t>
      </w:r>
    </w:p>
    <w:p w:rsidR="00757DC3" w:rsidRDefault="00757DC3" w:rsidP="00757DC3">
      <w:r>
        <w:tab/>
      </w:r>
      <w:r>
        <w:tab/>
        <w:t>Cognitivo-Comportamentale</w:t>
      </w:r>
    </w:p>
    <w:p w:rsidR="00757DC3" w:rsidRDefault="00757DC3" w:rsidP="00757DC3">
      <w:r>
        <w:tab/>
      </w:r>
      <w:r>
        <w:tab/>
        <w:t>Approcci integrati</w:t>
      </w:r>
    </w:p>
    <w:p w:rsidR="00757DC3" w:rsidRDefault="00757DC3" w:rsidP="00757DC3">
      <w:r>
        <w:t>Unità 3:</w:t>
      </w:r>
      <w:r>
        <w:tab/>
        <w:t xml:space="preserve">Il </w:t>
      </w:r>
      <w:proofErr w:type="spellStart"/>
      <w:r>
        <w:t>counseling</w:t>
      </w:r>
      <w:proofErr w:type="spellEnd"/>
      <w:r w:rsidR="00340868">
        <w:t xml:space="preserve"> in infanzia</w:t>
      </w:r>
    </w:p>
    <w:p w:rsidR="00757DC3" w:rsidRDefault="00757DC3" w:rsidP="00757DC3">
      <w:r>
        <w:tab/>
      </w:r>
      <w:r>
        <w:tab/>
        <w:t>Inquadramento generale</w:t>
      </w:r>
    </w:p>
    <w:p w:rsidR="00757DC3" w:rsidRDefault="00757DC3" w:rsidP="00757DC3">
      <w:r>
        <w:tab/>
      </w:r>
      <w:r>
        <w:tab/>
        <w:t>Obiettivi dell’intervento</w:t>
      </w:r>
    </w:p>
    <w:p w:rsidR="00757DC3" w:rsidRDefault="00757DC3" w:rsidP="00757DC3">
      <w:r>
        <w:tab/>
      </w:r>
      <w:r>
        <w:tab/>
        <w:t>La spirale del cambiamento</w:t>
      </w:r>
    </w:p>
    <w:p w:rsidR="007133AF" w:rsidRDefault="007133AF" w:rsidP="00757DC3">
      <w:r>
        <w:t xml:space="preserve">Unità 4: Le tecniche di </w:t>
      </w:r>
      <w:proofErr w:type="spellStart"/>
      <w:r>
        <w:t>counselling</w:t>
      </w:r>
      <w:proofErr w:type="spellEnd"/>
      <w:r>
        <w:t xml:space="preserve"> in infanzia</w:t>
      </w:r>
    </w:p>
    <w:p w:rsidR="007133AF" w:rsidRDefault="007133AF" w:rsidP="00757DC3">
      <w:r>
        <w:tab/>
      </w:r>
      <w:r>
        <w:tab/>
        <w:t>Osservazione</w:t>
      </w:r>
    </w:p>
    <w:p w:rsidR="007133AF" w:rsidRDefault="007133AF" w:rsidP="008270CB">
      <w:pPr>
        <w:ind w:left="708" w:firstLine="708"/>
      </w:pPr>
      <w:r>
        <w:t>Gioco</w:t>
      </w:r>
    </w:p>
    <w:p w:rsidR="007133AF" w:rsidRDefault="007133AF" w:rsidP="00757DC3">
      <w:r>
        <w:tab/>
      </w:r>
      <w:r>
        <w:tab/>
        <w:t>Disegno</w:t>
      </w:r>
    </w:p>
    <w:p w:rsidR="007133AF" w:rsidRDefault="007133AF" w:rsidP="00757DC3">
      <w:r>
        <w:tab/>
      </w:r>
      <w:r>
        <w:tab/>
        <w:t>Fiaba</w:t>
      </w:r>
    </w:p>
    <w:p w:rsidR="007133AF" w:rsidRDefault="007133AF" w:rsidP="00757DC3">
      <w:r>
        <w:tab/>
      </w:r>
      <w:r>
        <w:tab/>
        <w:t>Colloquio e domande</w:t>
      </w:r>
    </w:p>
    <w:p w:rsidR="007133AF" w:rsidRDefault="007133AF" w:rsidP="00757DC3">
      <w:r>
        <w:t xml:space="preserve">Unità 5: Aree di intervento del </w:t>
      </w:r>
      <w:proofErr w:type="spellStart"/>
      <w:r>
        <w:t>counselling</w:t>
      </w:r>
      <w:proofErr w:type="spellEnd"/>
    </w:p>
    <w:p w:rsidR="007133AF" w:rsidRDefault="007133AF" w:rsidP="008270CB">
      <w:pPr>
        <w:ind w:left="1416" w:firstLine="4"/>
      </w:pPr>
      <w:r>
        <w:t xml:space="preserve">La gravidanza, il post </w:t>
      </w:r>
      <w:proofErr w:type="spellStart"/>
      <w:r>
        <w:t>partum</w:t>
      </w:r>
      <w:proofErr w:type="spellEnd"/>
      <w:r>
        <w:t xml:space="preserve"> e le prime relazioni mamma-papà-bambino</w:t>
      </w:r>
    </w:p>
    <w:p w:rsidR="007133AF" w:rsidRDefault="007133AF" w:rsidP="008270CB">
      <w:pPr>
        <w:ind w:left="1416" w:firstLine="4"/>
      </w:pPr>
      <w:r>
        <w:t xml:space="preserve">I </w:t>
      </w:r>
      <w:proofErr w:type="spellStart"/>
      <w:r>
        <w:t>siblings</w:t>
      </w:r>
      <w:proofErr w:type="spellEnd"/>
    </w:p>
    <w:p w:rsidR="007133AF" w:rsidRDefault="007133AF" w:rsidP="008270CB">
      <w:pPr>
        <w:ind w:left="1416" w:firstLine="4"/>
      </w:pPr>
      <w:r>
        <w:t>I minori immigrati</w:t>
      </w:r>
    </w:p>
    <w:p w:rsidR="007133AF" w:rsidRDefault="007133AF" w:rsidP="007133AF">
      <w:r>
        <w:t xml:space="preserve">Unità 6: Il </w:t>
      </w:r>
      <w:proofErr w:type="spellStart"/>
      <w:r>
        <w:t>counselling</w:t>
      </w:r>
      <w:proofErr w:type="spellEnd"/>
      <w:r>
        <w:t xml:space="preserve"> con i genitori</w:t>
      </w:r>
    </w:p>
    <w:p w:rsidR="007133AF" w:rsidRDefault="007133AF" w:rsidP="007133AF">
      <w:r>
        <w:tab/>
      </w:r>
      <w:r>
        <w:tab/>
        <w:t xml:space="preserve">La </w:t>
      </w:r>
      <w:proofErr w:type="spellStart"/>
      <w:r>
        <w:t>cogenitorialità</w:t>
      </w:r>
      <w:proofErr w:type="spellEnd"/>
    </w:p>
    <w:p w:rsidR="007133AF" w:rsidRDefault="007133AF" w:rsidP="007133AF">
      <w:r>
        <w:tab/>
      </w:r>
      <w:r>
        <w:tab/>
        <w:t>Modelli di lavoro con i genitori</w:t>
      </w:r>
    </w:p>
    <w:p w:rsidR="00757DC3" w:rsidRDefault="00757DC3" w:rsidP="00757DC3">
      <w:r>
        <w:t xml:space="preserve">Unità </w:t>
      </w:r>
      <w:r w:rsidR="007638C7">
        <w:t>7</w:t>
      </w:r>
      <w:r>
        <w:t>:</w:t>
      </w:r>
      <w:r>
        <w:tab/>
        <w:t>L</w:t>
      </w:r>
      <w:r w:rsidR="00B331A4">
        <w:t>a società in infanzia</w:t>
      </w:r>
    </w:p>
    <w:p w:rsidR="00757DC3" w:rsidRDefault="00757DC3" w:rsidP="00757DC3">
      <w:r>
        <w:tab/>
      </w:r>
      <w:r>
        <w:tab/>
      </w:r>
      <w:r w:rsidR="00B331A4">
        <w:t>Relazioni tra fratelli</w:t>
      </w:r>
    </w:p>
    <w:p w:rsidR="00757DC3" w:rsidRDefault="00757DC3" w:rsidP="00757DC3">
      <w:r>
        <w:tab/>
      </w:r>
      <w:r>
        <w:tab/>
      </w:r>
      <w:r w:rsidR="00B331A4">
        <w:t>Amicizia in infanzia</w:t>
      </w:r>
    </w:p>
    <w:p w:rsidR="00B331A4" w:rsidRDefault="00B331A4" w:rsidP="00757DC3">
      <w:r>
        <w:tab/>
      </w:r>
      <w:r>
        <w:tab/>
        <w:t>La solitudine</w:t>
      </w:r>
    </w:p>
    <w:p w:rsidR="00757DC3" w:rsidRDefault="007638C7" w:rsidP="00757DC3">
      <w:r>
        <w:t>Unità 8</w:t>
      </w:r>
      <w:r w:rsidR="00757DC3">
        <w:t>:</w:t>
      </w:r>
      <w:r w:rsidR="00757DC3">
        <w:tab/>
      </w:r>
      <w:r w:rsidR="00B331A4">
        <w:t>Attaccamento in infanzia</w:t>
      </w:r>
    </w:p>
    <w:p w:rsidR="00757DC3" w:rsidRDefault="00757DC3" w:rsidP="00757DC3">
      <w:r>
        <w:tab/>
      </w:r>
      <w:r>
        <w:tab/>
        <w:t xml:space="preserve">Caratteristiche </w:t>
      </w:r>
      <w:r w:rsidR="00B331A4">
        <w:t>dei modelli di attaccamento</w:t>
      </w:r>
    </w:p>
    <w:p w:rsidR="00757DC3" w:rsidRDefault="00757DC3" w:rsidP="00757DC3">
      <w:r>
        <w:tab/>
      </w:r>
      <w:r>
        <w:tab/>
      </w:r>
      <w:r w:rsidR="00B331A4">
        <w:t>Strumenti di valutazione</w:t>
      </w:r>
    </w:p>
    <w:p w:rsidR="00757DC3" w:rsidRDefault="00757DC3" w:rsidP="00757DC3">
      <w:r>
        <w:tab/>
      </w:r>
      <w:r>
        <w:tab/>
      </w:r>
      <w:r w:rsidR="00B331A4">
        <w:t>Disturbi della regolazione emotiva e dell’attaccamento</w:t>
      </w:r>
    </w:p>
    <w:p w:rsidR="00FB09F4" w:rsidRDefault="00FB09F4" w:rsidP="00FB09F4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0906C7">
        <w:rPr>
          <w:rStyle w:val="Rimandonotaapidipagina"/>
          <w:b/>
          <w:i/>
          <w:sz w:val="18"/>
        </w:rPr>
        <w:footnoteReference w:id="1"/>
      </w:r>
    </w:p>
    <w:p w:rsidR="00552B7A" w:rsidRPr="00BA0430" w:rsidRDefault="00552B7A" w:rsidP="00552B7A">
      <w:pPr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Lezioni dei Docenti</w:t>
      </w:r>
    </w:p>
    <w:p w:rsidR="00552B7A" w:rsidRPr="00BA0430" w:rsidRDefault="00915430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Testi di base</w:t>
      </w:r>
    </w:p>
    <w:p w:rsidR="00552B7A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Mazzoncini &amp; Musatti (2012). I disturbi dello sviluppo. Cortina.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52B7A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lastRenderedPageBreak/>
        <w:t>Tambelli (2017). Manuale di Psicopatologia dell’Infanzia. Il Mulino. CAPP 1, 2, 4, 8.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670EF" w:rsidRPr="00BA0430" w:rsidRDefault="00552B7A" w:rsidP="00F46BE3">
      <w:pPr>
        <w:spacing w:before="240"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1 libro</w:t>
      </w:r>
      <w:r w:rsidR="00915430" w:rsidRPr="00BA0430">
        <w:rPr>
          <w:rFonts w:ascii="Times" w:hAnsi="Times"/>
          <w:noProof/>
          <w:sz w:val="18"/>
          <w:szCs w:val="20"/>
        </w:rPr>
        <w:t xml:space="preserve"> a scelta tra quelli in elenco</w:t>
      </w:r>
      <w:r w:rsidRPr="00BA0430">
        <w:rPr>
          <w:rFonts w:ascii="Times" w:hAnsi="Times"/>
          <w:noProof/>
          <w:sz w:val="18"/>
          <w:szCs w:val="20"/>
        </w:rPr>
        <w:t>:</w:t>
      </w:r>
    </w:p>
    <w:p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Benedetto &amp; Ingrassia (2010). Parenting. Carocci.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0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Longobardi, Pasta, Quaglia (2012). Manuale del disegno infantile. Vecchie e nuove prospettive in ambito educativo e psicologico. UTET.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1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Cornoldi (2013). Le difficoltà di apprendimento a scuola. Il Mulino.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2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Vegetti Finzi (2005). Quando i genitori si dividono: le emozioni dei figli. Mondadori.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3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Spitzer (2013). Demenza digitale. Corbaccio.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4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5670EF" w:rsidRPr="00BA0430" w:rsidRDefault="00552B7A" w:rsidP="00552B7A">
      <w:pPr>
        <w:spacing w:line="240" w:lineRule="auto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- </w:t>
      </w:r>
      <w:r w:rsidR="00915430" w:rsidRPr="00BA0430">
        <w:rPr>
          <w:rFonts w:ascii="Times" w:hAnsi="Times"/>
          <w:noProof/>
          <w:sz w:val="18"/>
          <w:szCs w:val="20"/>
        </w:rPr>
        <w:t>Kanisza (20</w:t>
      </w:r>
      <w:r w:rsidR="006846A4" w:rsidRPr="00BA0430">
        <w:rPr>
          <w:rFonts w:ascii="Times" w:hAnsi="Times"/>
          <w:noProof/>
          <w:sz w:val="18"/>
          <w:szCs w:val="20"/>
        </w:rPr>
        <w:t>13</w:t>
      </w:r>
      <w:r w:rsidR="00915430" w:rsidRPr="00BA0430">
        <w:rPr>
          <w:rFonts w:ascii="Times" w:hAnsi="Times"/>
          <w:noProof/>
          <w:sz w:val="18"/>
          <w:szCs w:val="20"/>
        </w:rPr>
        <w:t xml:space="preserve">). La paura del lupo cattivo: quando un bambino è in ospedale. </w:t>
      </w:r>
      <w:r w:rsidR="006846A4" w:rsidRPr="00BA0430">
        <w:rPr>
          <w:rFonts w:ascii="Times" w:hAnsi="Times"/>
          <w:noProof/>
          <w:sz w:val="18"/>
          <w:szCs w:val="20"/>
        </w:rPr>
        <w:t>Cortina</w:t>
      </w:r>
      <w:r w:rsidR="00915430" w:rsidRPr="00BA0430">
        <w:rPr>
          <w:rFonts w:ascii="Times" w:hAnsi="Times"/>
          <w:noProof/>
          <w:sz w:val="18"/>
          <w:szCs w:val="20"/>
        </w:rPr>
        <w:t>.</w:t>
      </w:r>
      <w:r w:rsidR="000906C7">
        <w:rPr>
          <w:rFonts w:ascii="Times" w:hAnsi="Times"/>
          <w:noProof/>
          <w:sz w:val="18"/>
          <w:szCs w:val="20"/>
        </w:rPr>
        <w:t xml:space="preserve"> </w:t>
      </w:r>
      <w:hyperlink r:id="rId15" w:history="1">
        <w:r w:rsidR="000906C7" w:rsidRPr="000906C7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FB09F4" w:rsidRDefault="00FB09F4" w:rsidP="00FB09F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440BD1" w:rsidRPr="00BA0430" w:rsidRDefault="00440BD1" w:rsidP="00F46BE3">
      <w:pPr>
        <w:spacing w:line="240" w:lineRule="auto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La didattica del corso, oltre a lezioni frontali, prevede esercitazioni in aula, discussione di gruppo, commento di filmati e studio di casi. </w:t>
      </w:r>
    </w:p>
    <w:p w:rsidR="00DC069A" w:rsidRPr="004D1068" w:rsidRDefault="00DC069A" w:rsidP="00DC069A">
      <w:pPr>
        <w:spacing w:before="240" w:after="120" w:line="220" w:lineRule="exact"/>
        <w:rPr>
          <w:b/>
          <w:i/>
          <w:sz w:val="18"/>
          <w:szCs w:val="18"/>
        </w:rPr>
      </w:pPr>
      <w:r w:rsidRPr="004D1068">
        <w:rPr>
          <w:b/>
          <w:i/>
          <w:sz w:val="18"/>
          <w:szCs w:val="18"/>
        </w:rPr>
        <w:t>METODO E CRITERI DI VALUTAZIONE</w:t>
      </w:r>
    </w:p>
    <w:p w:rsidR="00BA0430" w:rsidRPr="00BA0430" w:rsidRDefault="00BA0430" w:rsidP="00BA0430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L'esame consisterà in una prova scritta, con possibilità, su richiesta della Commissione d'esame e/o dello studente, di una prova orale di approfondimento e integrazione da effettuarsi secondo le modalità disposte dalla Commissione.</w:t>
      </w:r>
    </w:p>
    <w:p w:rsidR="004951C0" w:rsidRPr="00BA0430" w:rsidRDefault="004951C0" w:rsidP="00F46BE3">
      <w:pPr>
        <w:spacing w:line="220" w:lineRule="exact"/>
        <w:ind w:firstLine="284"/>
        <w:rPr>
          <w:rFonts w:ascii="Times" w:hAnsi="Times"/>
          <w:strike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L’esame verterà sui testi e sugli argomenti indicati nella Guida di Facoltà pubblicata sul sito www.unicatt.it nell’apposita sezione</w:t>
      </w:r>
      <w:r w:rsidR="00893984" w:rsidRPr="00BA0430">
        <w:rPr>
          <w:rFonts w:ascii="Times" w:hAnsi="Times"/>
          <w:noProof/>
          <w:sz w:val="18"/>
          <w:szCs w:val="20"/>
        </w:rPr>
        <w:t>.</w:t>
      </w:r>
      <w:r w:rsidR="00DC069A" w:rsidRPr="00BA0430">
        <w:rPr>
          <w:rFonts w:ascii="Times" w:hAnsi="Times"/>
          <w:strike/>
          <w:noProof/>
          <w:sz w:val="18"/>
          <w:szCs w:val="20"/>
        </w:rPr>
        <w:t xml:space="preserve"> </w:t>
      </w:r>
    </w:p>
    <w:p w:rsidR="00DC069A" w:rsidRPr="00BA0430" w:rsidRDefault="004951C0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L’esame </w:t>
      </w:r>
      <w:r w:rsidR="00DC069A" w:rsidRPr="00BA0430">
        <w:rPr>
          <w:rFonts w:ascii="Times" w:hAnsi="Times"/>
          <w:noProof/>
          <w:sz w:val="18"/>
          <w:szCs w:val="20"/>
        </w:rPr>
        <w:t xml:space="preserve">consisterà in quattro domande aperte alle quali gli studenti dovranno rispondere in un’ora di tempo. </w:t>
      </w:r>
    </w:p>
    <w:p w:rsidR="00DC069A" w:rsidRPr="00BA0430" w:rsidRDefault="00DC069A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Le domande verteranno sull’intero programma d’esame e verranno formulate con riferimento a temi specifici. </w:t>
      </w:r>
    </w:p>
    <w:p w:rsidR="00EE0EDD" w:rsidRPr="00BA0430" w:rsidRDefault="00EE0EDD" w:rsidP="00F46BE3">
      <w:pPr>
        <w:pStyle w:val="Testo2"/>
      </w:pPr>
      <w:r w:rsidRPr="00BA0430">
        <w:t>1.</w:t>
      </w:r>
      <w:r w:rsidR="00DA1286" w:rsidRPr="00BA0430">
        <w:t xml:space="preserve"> </w:t>
      </w:r>
      <w:r w:rsidRPr="00BA0430">
        <w:t xml:space="preserve">Con riferimento alla conoscenza e capacità di comprensione, si chiederà allo studente di illustrare </w:t>
      </w:r>
      <w:r w:rsidR="00202EFB" w:rsidRPr="00BA0430">
        <w:t>il quadro di riferimento teorico relativo sia alle traiettorie di sviluppo tipiche e atipiche in infanzia, sia alle diverse tecniche di intervento nel counselling</w:t>
      </w:r>
      <w:r w:rsidRPr="00BA0430">
        <w:t>.</w:t>
      </w:r>
    </w:p>
    <w:p w:rsidR="00EE0EDD" w:rsidRPr="00BA0430" w:rsidRDefault="00EE0EDD" w:rsidP="00F46BE3">
      <w:pPr>
        <w:pStyle w:val="Testo2"/>
      </w:pPr>
      <w:r w:rsidRPr="00BA0430">
        <w:t xml:space="preserve">2. Con riferimento alla capacità di applicare conoscenza e comprensione, verrà richiesto allo studente di portare, all’interno delle risposte alle domande, delle esemplificazioni pertinenti con la teoria di riferimento. </w:t>
      </w:r>
    </w:p>
    <w:p w:rsidR="00DC069A" w:rsidRPr="00BA0430" w:rsidRDefault="00DC069A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>Criteri di valutazione</w:t>
      </w:r>
    </w:p>
    <w:p w:rsidR="00DC069A" w:rsidRPr="00BA0430" w:rsidRDefault="00DC069A" w:rsidP="00F46BE3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La prova di esame sarà scritta e consisterà in 4 domande aperte</w:t>
      </w:r>
    </w:p>
    <w:p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noProof/>
          <w:sz w:val="18"/>
          <w:szCs w:val="20"/>
        </w:rPr>
        <w:t xml:space="preserve">Nella valutazione dell’apprendimento si considererà la completezza, la pertinenza, la correttezza delle risposte e l’appropriatezza del linguaggio. </w:t>
      </w:r>
      <w:r w:rsidRPr="00BA0430">
        <w:rPr>
          <w:rFonts w:ascii="Times" w:hAnsi="Times"/>
          <w:sz w:val="18"/>
          <w:szCs w:val="20"/>
        </w:rPr>
        <w:t>Le risposte alle domande aperte verranno valutate su una scala 0-3 punti, in base ai seguenti criteri:</w:t>
      </w:r>
    </w:p>
    <w:p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 xml:space="preserve">0 </w:t>
      </w:r>
      <w:r w:rsidR="00F46BE3" w:rsidRPr="00BA0430">
        <w:rPr>
          <w:rFonts w:ascii="Times" w:hAnsi="Times"/>
          <w:sz w:val="18"/>
          <w:szCs w:val="20"/>
        </w:rPr>
        <w:t>= risposta</w:t>
      </w:r>
      <w:r w:rsidRPr="00BA0430">
        <w:rPr>
          <w:rFonts w:ascii="Times" w:hAnsi="Times"/>
          <w:sz w:val="18"/>
          <w:szCs w:val="20"/>
        </w:rPr>
        <w:t xml:space="preserve"> mancante o errata</w:t>
      </w:r>
    </w:p>
    <w:p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1 = risposta con sporadici e non sistematici elementi corretti nel prevalere complessivo di contenuti non corretti, non pertinenti e esposti in modo non efficace</w:t>
      </w:r>
    </w:p>
    <w:p w:rsidR="00DC069A" w:rsidRPr="00BA0430" w:rsidRDefault="00DC069A" w:rsidP="00F46BE3">
      <w:pPr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lastRenderedPageBreak/>
        <w:t>2 =</w:t>
      </w:r>
      <w:r w:rsidR="00DA1286" w:rsidRPr="00BA0430">
        <w:rPr>
          <w:rFonts w:ascii="Times" w:hAnsi="Times"/>
          <w:sz w:val="18"/>
          <w:szCs w:val="20"/>
        </w:rPr>
        <w:t xml:space="preserve"> </w:t>
      </w:r>
      <w:r w:rsidRPr="00BA0430">
        <w:rPr>
          <w:rFonts w:ascii="Times" w:hAnsi="Times"/>
          <w:sz w:val="18"/>
          <w:szCs w:val="20"/>
        </w:rPr>
        <w:t xml:space="preserve">risposta contestualizzata correttamente con contenuti </w:t>
      </w:r>
      <w:r w:rsidR="00F46BE3" w:rsidRPr="00BA0430">
        <w:rPr>
          <w:rFonts w:ascii="Times" w:hAnsi="Times"/>
          <w:sz w:val="18"/>
          <w:szCs w:val="20"/>
        </w:rPr>
        <w:t>sufficienti ma</w:t>
      </w:r>
      <w:r w:rsidRPr="00BA0430">
        <w:rPr>
          <w:rFonts w:ascii="Times" w:hAnsi="Times"/>
          <w:sz w:val="18"/>
          <w:szCs w:val="20"/>
        </w:rPr>
        <w:t xml:space="preserve"> </w:t>
      </w:r>
      <w:r w:rsidR="00F46BE3" w:rsidRPr="00BA0430">
        <w:rPr>
          <w:rFonts w:ascii="Times" w:hAnsi="Times"/>
          <w:sz w:val="18"/>
          <w:szCs w:val="20"/>
        </w:rPr>
        <w:t>incompleta, con</w:t>
      </w:r>
      <w:r w:rsidRPr="00BA0430">
        <w:rPr>
          <w:rFonts w:ascii="Times" w:hAnsi="Times"/>
          <w:sz w:val="18"/>
          <w:szCs w:val="20"/>
        </w:rPr>
        <w:t xml:space="preserve"> elementi non corretti ed esposta in modo non efficace o incompleta</w:t>
      </w:r>
    </w:p>
    <w:p w:rsidR="00DC069A" w:rsidRPr="00BA0430" w:rsidRDefault="00DC069A" w:rsidP="00F46BE3">
      <w:pPr>
        <w:spacing w:line="220" w:lineRule="exact"/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 xml:space="preserve">3 = risposta corretta, ben </w:t>
      </w:r>
      <w:r w:rsidR="00F46BE3" w:rsidRPr="00BA0430">
        <w:rPr>
          <w:rFonts w:ascii="Times" w:hAnsi="Times"/>
          <w:sz w:val="18"/>
          <w:szCs w:val="20"/>
        </w:rPr>
        <w:t>esposta,</w:t>
      </w:r>
      <w:r w:rsidRPr="00BA0430">
        <w:rPr>
          <w:rFonts w:ascii="Times" w:hAnsi="Times"/>
          <w:sz w:val="18"/>
          <w:szCs w:val="20"/>
        </w:rPr>
        <w:t xml:space="preserve"> pertinente e coerente </w:t>
      </w:r>
    </w:p>
    <w:p w:rsidR="00DC069A" w:rsidRDefault="00DC069A" w:rsidP="00F46BE3">
      <w:pPr>
        <w:spacing w:line="220" w:lineRule="exact"/>
        <w:ind w:firstLine="284"/>
        <w:rPr>
          <w:rFonts w:ascii="Times" w:hAnsi="Times"/>
          <w:sz w:val="18"/>
          <w:szCs w:val="20"/>
        </w:rPr>
      </w:pPr>
      <w:r w:rsidRPr="00BA0430">
        <w:rPr>
          <w:rFonts w:ascii="Times" w:hAnsi="Times"/>
          <w:sz w:val="18"/>
          <w:szCs w:val="20"/>
        </w:rPr>
        <w:t>Per superare l’esame gli studenti dovranno riportare una valutazione almeno sufficiente in tutte le domande.</w:t>
      </w:r>
    </w:p>
    <w:p w:rsidR="00EE0EDD" w:rsidRDefault="00EE0EDD" w:rsidP="009939C1">
      <w:pPr>
        <w:spacing w:before="240" w:after="120" w:line="220" w:lineRule="exact"/>
        <w:rPr>
          <w:b/>
          <w:i/>
          <w:sz w:val="18"/>
          <w:szCs w:val="18"/>
        </w:rPr>
      </w:pPr>
      <w:r w:rsidRPr="004F264E">
        <w:rPr>
          <w:b/>
          <w:i/>
          <w:sz w:val="18"/>
          <w:szCs w:val="18"/>
        </w:rPr>
        <w:t>AVVERTENZE</w:t>
      </w:r>
      <w:r>
        <w:rPr>
          <w:b/>
          <w:i/>
          <w:sz w:val="18"/>
          <w:szCs w:val="18"/>
        </w:rPr>
        <w:t xml:space="preserve"> E PREREQUISITI</w:t>
      </w:r>
    </w:p>
    <w:p w:rsidR="00EE0EDD" w:rsidRPr="00BA0430" w:rsidRDefault="00EE0EDD" w:rsidP="009939C1">
      <w:pPr>
        <w:spacing w:line="220" w:lineRule="exact"/>
        <w:rPr>
          <w:rFonts w:ascii="Times" w:eastAsia="Times New Roman" w:hAnsi="Times"/>
          <w:noProof/>
          <w:sz w:val="18"/>
          <w:szCs w:val="18"/>
        </w:rPr>
      </w:pPr>
      <w:r w:rsidRPr="00BA0430">
        <w:rPr>
          <w:rFonts w:ascii="Times" w:eastAsia="Times New Roman" w:hAnsi="Times"/>
          <w:noProof/>
          <w:sz w:val="18"/>
          <w:szCs w:val="18"/>
        </w:rPr>
        <w:t xml:space="preserve">Lo studente dovrà possedere una conoscenza di base relativa </w:t>
      </w:r>
      <w:r w:rsidR="008F663E" w:rsidRPr="00BA0430">
        <w:rPr>
          <w:rFonts w:ascii="Times" w:eastAsia="Times New Roman" w:hAnsi="Times"/>
          <w:noProof/>
          <w:sz w:val="18"/>
          <w:szCs w:val="18"/>
        </w:rPr>
        <w:t>alla psicologia dello sviluppo</w:t>
      </w:r>
      <w:r w:rsidRPr="00BA0430">
        <w:rPr>
          <w:rFonts w:ascii="Times" w:eastAsia="Times New Roman" w:hAnsi="Times"/>
          <w:noProof/>
          <w:sz w:val="18"/>
          <w:szCs w:val="18"/>
        </w:rPr>
        <w:t>.</w:t>
      </w:r>
    </w:p>
    <w:p w:rsidR="00F46BE3" w:rsidRPr="00BA0430" w:rsidRDefault="00F46BE3" w:rsidP="00F46BE3">
      <w:pPr>
        <w:spacing w:before="120"/>
        <w:ind w:firstLine="284"/>
        <w:rPr>
          <w:rFonts w:eastAsiaTheme="minorHAnsi"/>
          <w:i/>
          <w:iCs/>
          <w:sz w:val="18"/>
          <w:szCs w:val="18"/>
        </w:rPr>
      </w:pPr>
      <w:r w:rsidRPr="00BA0430">
        <w:rPr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F46BE3" w:rsidRPr="00BA0430" w:rsidRDefault="00F46BE3" w:rsidP="00AE72A5">
      <w:pPr>
        <w:spacing w:before="120" w:line="220" w:lineRule="atLeast"/>
        <w:ind w:firstLine="284"/>
        <w:rPr>
          <w:rFonts w:ascii="Times" w:eastAsia="Times New Roman" w:hAnsi="Times" w:cs="Times"/>
          <w:color w:val="000000"/>
          <w:sz w:val="18"/>
          <w:szCs w:val="18"/>
        </w:rPr>
      </w:pPr>
      <w:r w:rsidRPr="00BA0430">
        <w:rPr>
          <w:rFonts w:ascii="Times" w:eastAsia="Times New Roman" w:hAnsi="Times" w:cs="Times"/>
          <w:i/>
          <w:iCs/>
          <w:color w:val="000000"/>
          <w:sz w:val="18"/>
          <w:szCs w:val="18"/>
        </w:rPr>
        <w:t>Orario e luogo di ricev</w:t>
      </w:r>
      <w:bookmarkStart w:id="0" w:name="_GoBack"/>
      <w:bookmarkEnd w:id="0"/>
      <w:r w:rsidRPr="00BA0430">
        <w:rPr>
          <w:rFonts w:ascii="Times" w:eastAsia="Times New Roman" w:hAnsi="Times" w:cs="Times"/>
          <w:i/>
          <w:iCs/>
          <w:color w:val="000000"/>
          <w:sz w:val="18"/>
          <w:szCs w:val="18"/>
        </w:rPr>
        <w:t>imento degli studenti</w:t>
      </w:r>
    </w:p>
    <w:p w:rsidR="00B331A4" w:rsidRPr="00BA0430" w:rsidRDefault="0050088D" w:rsidP="00B331A4">
      <w:pPr>
        <w:pStyle w:val="Testo2"/>
        <w:rPr>
          <w:szCs w:val="18"/>
        </w:rPr>
      </w:pPr>
      <w:r w:rsidRPr="00BA0430">
        <w:rPr>
          <w:szCs w:val="18"/>
        </w:rPr>
        <w:t xml:space="preserve">Durante il periodo delle lezioni il Prof. Chiara Ionio riceve gli studenti il </w:t>
      </w:r>
      <w:r w:rsidR="004F1974" w:rsidRPr="00BA0430">
        <w:rPr>
          <w:szCs w:val="18"/>
        </w:rPr>
        <w:t>venerdì</w:t>
      </w:r>
      <w:r w:rsidRPr="00BA0430">
        <w:rPr>
          <w:szCs w:val="18"/>
        </w:rPr>
        <w:t xml:space="preserve"> dalle ore 9</w:t>
      </w:r>
      <w:r w:rsidR="00DA1286" w:rsidRPr="00BA0430">
        <w:rPr>
          <w:szCs w:val="18"/>
        </w:rPr>
        <w:t>.</w:t>
      </w:r>
      <w:r w:rsidRPr="00BA0430">
        <w:rPr>
          <w:szCs w:val="18"/>
        </w:rPr>
        <w:t>00 alle ore 11</w:t>
      </w:r>
      <w:r w:rsidR="00DA1286" w:rsidRPr="00BA0430">
        <w:rPr>
          <w:szCs w:val="18"/>
        </w:rPr>
        <w:t>.</w:t>
      </w:r>
      <w:r w:rsidRPr="00BA0430">
        <w:rPr>
          <w:szCs w:val="18"/>
        </w:rPr>
        <w:t>00 presso il Dipartimento di Psicologia. Negli altri periodi riceve previo appuntamento (chiara.ionio@unicatt.it).</w:t>
      </w:r>
      <w:r w:rsidR="00B331A4" w:rsidRPr="00B331A4">
        <w:rPr>
          <w:szCs w:val="18"/>
        </w:rPr>
        <w:t xml:space="preserve"> </w:t>
      </w:r>
      <w:r w:rsidR="00B331A4" w:rsidRPr="00BA0430">
        <w:rPr>
          <w:szCs w:val="18"/>
        </w:rPr>
        <w:t>Le variazioni nell’orario di ricevimento saranno indicate nella bacheca avvisi dell’aula virtuale.</w:t>
      </w:r>
    </w:p>
    <w:p w:rsidR="00C1128F" w:rsidRPr="00BA0430" w:rsidRDefault="00B331A4" w:rsidP="00C93DFD">
      <w:pPr>
        <w:pStyle w:val="Testo2"/>
        <w:rPr>
          <w:szCs w:val="18"/>
        </w:rPr>
      </w:pPr>
      <w:r>
        <w:rPr>
          <w:szCs w:val="18"/>
        </w:rPr>
        <w:t>Il Prof. Gaia Cucci comunicherà a lezione orario e lugoo di ricevimento degli studenti.</w:t>
      </w:r>
    </w:p>
    <w:sectPr w:rsidR="00C1128F" w:rsidRPr="00BA0430" w:rsidSect="004D121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C75" w:rsidRDefault="00C87C75" w:rsidP="00FE1EFF">
      <w:pPr>
        <w:spacing w:line="240" w:lineRule="auto"/>
      </w:pPr>
      <w:r>
        <w:separator/>
      </w:r>
    </w:p>
  </w:endnote>
  <w:endnote w:type="continuationSeparator" w:id="0">
    <w:p w:rsidR="00C87C75" w:rsidRDefault="00C87C75" w:rsidP="00FE1E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FF" w:rsidRDefault="00FE1EF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FF" w:rsidRDefault="00FE1EF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FF" w:rsidRDefault="00FE1EF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C75" w:rsidRDefault="00C87C75" w:rsidP="00FE1EFF">
      <w:pPr>
        <w:spacing w:line="240" w:lineRule="auto"/>
      </w:pPr>
      <w:r>
        <w:separator/>
      </w:r>
    </w:p>
  </w:footnote>
  <w:footnote w:type="continuationSeparator" w:id="0">
    <w:p w:rsidR="00C87C75" w:rsidRDefault="00C87C75" w:rsidP="00FE1EFF">
      <w:pPr>
        <w:spacing w:line="240" w:lineRule="auto"/>
      </w:pPr>
      <w:r>
        <w:continuationSeparator/>
      </w:r>
    </w:p>
  </w:footnote>
  <w:footnote w:id="1">
    <w:p w:rsidR="000906C7" w:rsidRDefault="000906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FF" w:rsidRDefault="00FE1EF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FF" w:rsidRDefault="00FE1EF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EFF" w:rsidRDefault="00FE1E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E07AB"/>
    <w:multiLevelType w:val="hybridMultilevel"/>
    <w:tmpl w:val="6598081A"/>
    <w:lvl w:ilvl="0" w:tplc="2240637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5ED920">
      <w:numFmt w:val="none"/>
      <w:lvlText w:val=""/>
      <w:lvlJc w:val="left"/>
      <w:pPr>
        <w:tabs>
          <w:tab w:val="num" w:pos="360"/>
        </w:tabs>
      </w:pPr>
    </w:lvl>
    <w:lvl w:ilvl="2" w:tplc="4D865B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1C72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52416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9E70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CC0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3A2DC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96237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30B679BF"/>
    <w:multiLevelType w:val="hybridMultilevel"/>
    <w:tmpl w:val="EDCAE1DA"/>
    <w:lvl w:ilvl="0" w:tplc="F3D6E7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0C96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EE20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4A03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A70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DEC0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679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B663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D229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DA"/>
    <w:rsid w:val="00003FCB"/>
    <w:rsid w:val="00011A8A"/>
    <w:rsid w:val="000906C7"/>
    <w:rsid w:val="000B7AB2"/>
    <w:rsid w:val="00173052"/>
    <w:rsid w:val="0017328C"/>
    <w:rsid w:val="001F2083"/>
    <w:rsid w:val="00202EFB"/>
    <w:rsid w:val="002464C0"/>
    <w:rsid w:val="002A7CBA"/>
    <w:rsid w:val="002E7D6B"/>
    <w:rsid w:val="002F404E"/>
    <w:rsid w:val="0031679D"/>
    <w:rsid w:val="00330A4C"/>
    <w:rsid w:val="00340868"/>
    <w:rsid w:val="003A15C9"/>
    <w:rsid w:val="0040169B"/>
    <w:rsid w:val="0042110A"/>
    <w:rsid w:val="00440BD1"/>
    <w:rsid w:val="004645DA"/>
    <w:rsid w:val="004951C0"/>
    <w:rsid w:val="00495A02"/>
    <w:rsid w:val="004D1217"/>
    <w:rsid w:val="004D6008"/>
    <w:rsid w:val="004F1974"/>
    <w:rsid w:val="0050088D"/>
    <w:rsid w:val="005206DF"/>
    <w:rsid w:val="00552B7A"/>
    <w:rsid w:val="005670EF"/>
    <w:rsid w:val="005F2878"/>
    <w:rsid w:val="0066173A"/>
    <w:rsid w:val="00673202"/>
    <w:rsid w:val="00682E1F"/>
    <w:rsid w:val="006846A4"/>
    <w:rsid w:val="006A7C07"/>
    <w:rsid w:val="006F1772"/>
    <w:rsid w:val="007133AF"/>
    <w:rsid w:val="00716E6A"/>
    <w:rsid w:val="00757DC3"/>
    <w:rsid w:val="007638C7"/>
    <w:rsid w:val="00812D2B"/>
    <w:rsid w:val="008270CB"/>
    <w:rsid w:val="00893984"/>
    <w:rsid w:val="008F663E"/>
    <w:rsid w:val="00915430"/>
    <w:rsid w:val="00940DA2"/>
    <w:rsid w:val="009939C1"/>
    <w:rsid w:val="009B60DD"/>
    <w:rsid w:val="009C1956"/>
    <w:rsid w:val="00A16008"/>
    <w:rsid w:val="00A64358"/>
    <w:rsid w:val="00A80E74"/>
    <w:rsid w:val="00A878F0"/>
    <w:rsid w:val="00AA7A6D"/>
    <w:rsid w:val="00AE72A5"/>
    <w:rsid w:val="00B30325"/>
    <w:rsid w:val="00B331A4"/>
    <w:rsid w:val="00B7638C"/>
    <w:rsid w:val="00BA0430"/>
    <w:rsid w:val="00BB21B9"/>
    <w:rsid w:val="00BB62CA"/>
    <w:rsid w:val="00BF28C6"/>
    <w:rsid w:val="00C04CA6"/>
    <w:rsid w:val="00C1128F"/>
    <w:rsid w:val="00C4187A"/>
    <w:rsid w:val="00C74177"/>
    <w:rsid w:val="00C87C75"/>
    <w:rsid w:val="00C93DFD"/>
    <w:rsid w:val="00CC1ADB"/>
    <w:rsid w:val="00D545D6"/>
    <w:rsid w:val="00DA01E4"/>
    <w:rsid w:val="00DA1286"/>
    <w:rsid w:val="00DB5B09"/>
    <w:rsid w:val="00DC069A"/>
    <w:rsid w:val="00DC4A7E"/>
    <w:rsid w:val="00DE640B"/>
    <w:rsid w:val="00DE6AD3"/>
    <w:rsid w:val="00DF0A0A"/>
    <w:rsid w:val="00E07EA7"/>
    <w:rsid w:val="00E2398C"/>
    <w:rsid w:val="00EC7FF8"/>
    <w:rsid w:val="00EE0EDD"/>
    <w:rsid w:val="00F35028"/>
    <w:rsid w:val="00F41409"/>
    <w:rsid w:val="00F46BE3"/>
    <w:rsid w:val="00F50EA8"/>
    <w:rsid w:val="00FA16F4"/>
    <w:rsid w:val="00FB09F4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  <w14:docId w14:val="1AE2D6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80E7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80E74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A80E7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A80E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E1EFF"/>
    <w:rPr>
      <w:rFonts w:eastAsia="MS Mincho"/>
      <w:szCs w:val="24"/>
    </w:rPr>
  </w:style>
  <w:style w:type="paragraph" w:styleId="Pidipagina">
    <w:name w:val="footer"/>
    <w:basedOn w:val="Normale"/>
    <w:link w:val="PidipaginaCarattere"/>
    <w:rsid w:val="00FE1EF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E1EFF"/>
    <w:rPr>
      <w:rFonts w:eastAsia="MS Mincho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A64358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4358"/>
    <w:rPr>
      <w:rFonts w:ascii="Lucida Grande" w:eastAsia="MS Mincho" w:hAnsi="Lucida Grande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5206DF"/>
    <w:rPr>
      <w:sz w:val="18"/>
      <w:szCs w:val="18"/>
    </w:rPr>
  </w:style>
  <w:style w:type="paragraph" w:styleId="Testocommento">
    <w:name w:val="annotation text"/>
    <w:basedOn w:val="Normale"/>
    <w:link w:val="TestocommentoCarattere"/>
    <w:semiHidden/>
    <w:unhideWhenUsed/>
    <w:rsid w:val="005206DF"/>
    <w:pPr>
      <w:spacing w:line="240" w:lineRule="auto"/>
    </w:pPr>
    <w:rPr>
      <w:sz w:val="24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206DF"/>
    <w:rPr>
      <w:rFonts w:eastAsia="MS Mincho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206DF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206DF"/>
    <w:rPr>
      <w:rFonts w:eastAsia="MS Mincho"/>
      <w:b/>
      <w:bCs/>
      <w:sz w:val="24"/>
      <w:szCs w:val="24"/>
    </w:rPr>
  </w:style>
  <w:style w:type="paragraph" w:styleId="Revisione">
    <w:name w:val="Revision"/>
    <w:hidden/>
    <w:uiPriority w:val="99"/>
    <w:semiHidden/>
    <w:rsid w:val="0017328C"/>
    <w:rPr>
      <w:rFonts w:eastAsia="MS Mincho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906C7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906C7"/>
    <w:rPr>
      <w:rFonts w:eastAsia="MS Mincho"/>
    </w:rPr>
  </w:style>
  <w:style w:type="character" w:styleId="Rimandonotaapidipagina">
    <w:name w:val="footnote reference"/>
    <w:basedOn w:val="Carpredefinitoparagrafo"/>
    <w:semiHidden/>
    <w:unhideWhenUsed/>
    <w:rsid w:val="000906C7"/>
    <w:rPr>
      <w:vertAlign w:val="superscript"/>
    </w:rPr>
  </w:style>
  <w:style w:type="character" w:styleId="Collegamentoipertestuale">
    <w:name w:val="Hyperlink"/>
    <w:basedOn w:val="Carpredefinitoparagrafo"/>
    <w:unhideWhenUsed/>
    <w:rsid w:val="000906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86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2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62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04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532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866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560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03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115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37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zzoncini-bruna-musatti-lucilla/i-disturbi-dello-sviluppo-9788860305534-180144.html" TargetMode="External"/><Relationship Id="rId13" Type="http://schemas.openxmlformats.org/officeDocument/2006/relationships/hyperlink" Target="https://librerie.unicatt.it/scheda-libro/silvia-vegetti-finzi/quando-i-genitori-si-dividono-le-emozioni-dei-figli-9788804683094-529433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cesare-cornoldi/le-difficolta-di-apprendimento-a-scuola-far-fatica-a-leggere-a-scrivere-e-a-capire-la-matematica-9788815270894-248511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quaglia-rocco-longobardi-claudio-pasta-tiziano/manuale-del-disegno-infantile-9788860083890-22332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dosso-barbara-kanizsa-silvia/la-paura-del-lupo-cattivo-9788860305640-181105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ibrerie.unicatt.it/scheda-libro/loredana-benedetto-massimo-ingrassia/parenting-psicologia-dei-legami-genitoriali-9788843053599-210596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renata-tambelli/manuale-di-psicopatologia-dellinfanzia-9788815272102-256467.html" TargetMode="External"/><Relationship Id="rId14" Type="http://schemas.openxmlformats.org/officeDocument/2006/relationships/hyperlink" Target="https://librerie.unicatt.it/scheda-libro/manfred-spitzer/demenza-digitale-come-la-nuova-tecnologia-ci-rende-stupidi-9788867005512-676924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4CF575-29AB-4335-AAB2-345038CCA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2020-05-14T10:10:00Z</dcterms:created>
  <dcterms:modified xsi:type="dcterms:W3CDTF">2021-01-25T07:44:00Z</dcterms:modified>
</cp:coreProperties>
</file>